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D-8329/2008 vom 27. März 2009</w:t>
      </w:r>
    </w:p>
    <w:p>
      <w:r>
        <w:t>Bundesverwaltungsgericht, 2009-03-27, DE</w:t>
      </w:r>
    </w:p>
    <w:p>
      <w:r>
        <w:rPr>
          <w:b/>
        </w:rPr>
        <w:t xml:space="preserve">Quelle: </w:t>
      </w:r>
      <w:r>
        <w:t>https://mcp.opencaselaw.ch/entscheid/bvger_D-8329_2008</w:t>
      </w:r>
    </w:p>
    <w:p>
      <w:r>
        <w:t>FR: TAF D-8329/2008 du 27 mars 2009</w:t>
      </w:r>
    </w:p>
    <w:p>
      <w:r>
        <w:t>IT: TAF D-8329/2008 del 27 marzo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Art. 50 sowie 52 VwVG). Auf die Beschwerde ist einzutreten.</w:t>
      </w:r>
    </w:p>
    <w:p>
      <w:r>
        <w:rPr>
          <w:b/>
        </w:rPr>
        <w:t>E. 1.3</w:t>
      </w:r>
    </w:p>
    <w:p>
      <w:r>
        <w:t>Die vorinstanzliche Vernehmlassung vom 15. Januar 2009 wurde dem Beschwerdeführer nicht zur Kenntnis gebracht. Nachdem die vorliegende Beschwerde gutzuheissen sein wird, ist aus Gründen der Prozessökonomie von einer Gewährung des rechtlichen Gehörs in diesem Zusammenhang abzusehen (Art. 30 Abs. 2 Bst. c VwvG). Im Sinne der Verfahrenstransparenz wird die Vernehmlassung der Vorinstanz jedoch diesem Urteil beigelegt.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5</w:t>
      </w:r>
    </w:p>
    <w:p>
      <w:r>
        <w:t>Zwar beantragt der Beschwerdeführer einen neuen Entscheid im "Wegweisungspunkt", doch ergibt sich aus der Begründung, dass nicht über die Wegweisung an sich, sondern über den Wegweisungsvollzug neu zu befinden sein soll. Es ist deshalb davon auszugehen, dass lediglich die Frage des Wegweisungsvollzuges Gegenstand des Wiedererwägungsgesuches bildete. Im Folgenden ist daher nur zu prüfen, ob die Vorinstanz den angeordneten Wegweisungsvollzug angesichts des neu eingereichten Beweismittels, nämlich der Tazkara, zu Recht bestätigt hat.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w:t>
      </w:r>
    </w:p>
    <w:p>
      <w:r>
        <w:rPr>
          <w:b/>
        </w:rPr>
        <w:t>E. 6.2</w:t>
      </w:r>
    </w:p>
    <w:p>
      <w:r>
        <w:t>Vorliegend ist der geltend gemachte Sachverhalt nur insoweit auf seine Glaubhaftigkeit zu überprüfen, als er im Hinblick auf den angefochtenen Wegweisungsvollzug bedeutsam ist. Von Bedeutung sind im vorliegenden Verfahren - wie in den nachfolgenden Erwägungen aufgezeigt wird - insbesondere die Angaben des Beschwerdeführers zu seiner Herkunft.</w:t>
      </w:r>
    </w:p>
    <w:p>
      <w:r>
        <w:rPr>
          <w:b/>
        </w:rPr>
        <w:t>E. 6.2.1</w:t>
      </w:r>
    </w:p>
    <w:p>
      <w:r>
        <w:t>Das Bundesverwaltungsgericht sieht in Berücksichtigung der aktuellen Situation in Afghanistan (vgl. etwa Urteile des Bundesverwaltungsgerichtes D-877/2009 vom 2. März 2009, E-3702/2006 vom 24. November 2008, D-4485/2006 vom 1. Juli 2008) im vorliegenden Verfahren keinen Grund für eine Änderung oder Präzisierung der in EMARK 2006 Nr. 9 veröffentlichten und sich auf die frühere Praxis stützenden Einschätzung der Lage in Afghanistan. Die ARK setzte sich in EMARK 2003 Nr. 10 einlässlich mit der aktuellen Lage in Afghanistan, insbesondere in der Hauptstadt Kabul, auseinander und publizierte in EMARK 2003 Nr. 30 ihre Praxis betreffend die Voraussetzungen eines Wegweisungsvollzuges nach Afghanistan - darunter auch in die Provinz Ghazni -, und hielt darin klare Kriterien fest. Infolge der vergleichsweise günstigeren Situation erachtete sie den Wegweisungsvollzug nach Kabul unter bestimmten strengen Voraussetzungen, insbesondere einem tragfähigen Beziehungsnetz und einer gesicherten Wohnsituation, als zumutbar. Indessen erachtete sie eine Rückkehr in die Provinz Ghazni unabhängig von individuellen Umständen wie beispielsweise gesundheitlichen Beschwerden oder einem fehlenden Beziehungsnetz als unzumutbar. In EMARK 2006 Nr. 9 bestätigte und ergänzte sie ihre Rechtssprechung aus dem Jahr 2003. Zusätzlich zu Kabul erachtete sie den Wegweisungsvollzug in jene Regionen Afghanistans als grundsätzlich zumutbar, in welchen seit 2004 keine signifikanten militärischen Aktivitäten stattgefunden haben oder die keiner dauernden Unsicherheit ausgesetzt sind. Diese Voraussetzungen sind im Fall einer Wegweisung nach Kabul und - seit EMARK 2006 Nr. 9 - auch in die Provinzen Parwan, Baghlan, Takhar, Badakhshan, Kunduz, Balkh, Sari Pul, Herat und in die Gegend von Samangan, die nicht zum Hazarajat zu zählen ist, gegeben, wobei im Sinne einer Einschränkung die in EMARK 2003 Nr. 10 erwogenen strengen Bedingungen beachtet werden müssen. Ob sich die Lage in den genannten Provinzen in der Zwischenzeit verschärft hat, kann im vorliegenden Verfahren - angesichts der nachfolgenden Erwägungen - offenbleiben. In den östlichen, südlichen und südöstlichen Provinzen hingegen besteht - gestützt auf EMARK 2006 Nr. 9 - weiterhin eine allgemeine Gewaltsituation, weshalb der Wegweisungsvollzug dorthin nach wie vor als unzumutbar zu betrachten ist. Vor dem Hintergrund dieser Rechtsprechung versteht sich von selbst, dass die Herkunft des Beschwerdeführers beziehungsweise seine Volkszugehörigkeit von zentraler Bedeutung ist.</w:t>
      </w:r>
    </w:p>
    <w:p>
      <w:r>
        <w:rPr>
          <w:b/>
        </w:rPr>
        <w:t>E. 6.2.2</w:t>
      </w:r>
    </w:p>
    <w:p>
      <w:r>
        <w:t>Das Bundesamt erachtet die nachgereichte Tazkara als eigens im Hinblick auf das laufende Asylverfahren und zur Stützung der geltend gemachten Minderjährigkeit angefertigt. Angesichts der vom BFM aufgezeigten zeitlichen Konnexität sowie der widersprüchlichen Angabe des Beschwerdeführers erscheint diese Schlussfolgerung in Bezug auf das Alter des Beschwerdeführers nachvollziehbar. Es ist demnach nicht zu beanstanden, dass das BFM die nachgereichte Tazkara als nicht geeignet erachtet, die angenommene Volljährigkeit des Beschwerdeführers zu widerlegen. Hingegen lässt sich die gleiche Schlussfolgerung nach der Meinung des Bundesverwaltungsgerichts nicht ohne Weiteres auf die Frage der Herkunft des Beschwerdeführers übertragen, zumal sich der angefochtenen Verfügung keinerlei konkrete Hinweise darauf entnehmen lassen, weshalb das Bundesamt an der Herkunft des Beschwerdeführers zweifelt. Vor dem Hintergrund der vorstehend dargelegten Rechtsprechung des Bundesverwaltungsgerichts zur Zumutbarkeit des Wegweisungsvollzugs erweist sich die Frage der Herkunft des Beschwerdeführers - wie bereits erwähnt - als zentral. Der Beschwerdeführer hat hierzu Angaben gemacht, insbesondere wurde er bereits anlässlich der summarischen Befragung vom 19. Mai 2008 auf die örtlichen Gegebenheiten seines früheren Wohnortes sowie einen bestimmten Brauch angesprochen. Dass und inwiefern diese Angaben nicht zutreffen würden, wird von der Vorinstanz nicht dargelegt, ebenso wenig zweifelt das Bundesamt offenbar aufgrund anderer Anhaltspunkte wie etwa dem Aussehen oder der Aussprache an den Herkunftsangaben des Beschwerdeführers. Nach den Kenntnissen des Bundesverwaltungsgerichts wäre es schliesslich ohne Weiteres möglich, mittels eines LINGUA-Gutachtens die Angaben des Beschwerdeführers zu prüfen. Bei dieser Sachlage lässt sich die Schlussfolgerung des BFM in Bezug auf die Herkunft des Beschwerdeführers nicht aufrecht erhalten. Selbst wenn es zutrifft, dass der Beschwerdeführer mit der nachgereichten Tazkara eine unzutreffende Altersangabe belegen wollte, bedeutet dies nicht zwingend, dass auch die angegebene Herkunft fingiert wäre. Dies jedenfalls in einem Fall wie dem vorliegenden, in welchem beim derzeitigen Aktenstand offenbar keine konkreten weiteren Anhaltspunkte auf unzutreffende Herkunftsangaben hinweisen.</w:t>
      </w:r>
    </w:p>
    <w:p>
      <w:r>
        <w:rPr>
          <w:b/>
        </w:rPr>
        <w:t>E. 6.3</w:t>
      </w:r>
    </w:p>
    <w:p>
      <w:r>
        <w:t>Zusammenfassend ist festzuhalten, dass der rechtserhebliche Sachverhalt beim derzeitigen Aktenstand als nicht vollständig festgestellt gelten kann. Die Beschwerde ist demzufolge gutzuheissen und die Sache ist zur weiteren Behandlung im Sinne der Erwägungen an die Vorinstanz zurückzuweisen.</w:t>
      </w:r>
    </w:p>
    <w:p>
      <w:r>
        <w:rPr>
          <w:b/>
        </w:rPr>
        <w:t>E. 7</w:t>
      </w:r>
    </w:p>
    <w:p>
      <w:r>
        <w:t>Bei diesem Ausgang des Beschwerdeverfahrens sind keine Verfahrenskosten zu erheben (Art. 63 Abs. 1 bis 3 VwVG; Art. 1-3 des Reglements vom 21. Februar 2008 über die Kosten und Entschädigungen vor dem Bundesverwaltungsgericht (VGKE, SR 173.320.2). Das Gesuch um Gewährung der unentgeltlichen Rechtspflege im Sinne von Art. 65 Abs. 1 VwVG ist entsprechend gegenstandslos geworden. Angesichts des Obsiegens ist dem Beschwerdeführer eine Parteientschädigung zuzusprechen (vgl. Art. 64 Abs. 1 VwVG und Art. 7 Abs. 1 VGKE). Der Rechtsvertreter des Beschwerdeführers hat keine Kostennote eingereicht. Aufgrund der Akten lässt sich der Aufwand für das Beschwerdeverfahren jedoch zuverlässig abschätzen, weshalb auf die Einholung einer Kostennote zu verzichten ist. Unter Berücksichtigung der massgebenden Berechnungsfaktoren (Art. 9-11 und 13 VGKE) ist die Parteientschädigung auf Fr. 400.-- (inkl. Auslagen und Mehrwertsteuer) festzusetzen. Das BFM ist entsprechend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