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D-8328/2008 vom 22. Juli 2011</w:t>
      </w:r>
    </w:p>
    <w:p>
      <w:r>
        <w:t>Bundesverwaltungsgericht, 2011-07-22, DE</w:t>
      </w:r>
    </w:p>
    <w:p>
      <w:r>
        <w:rPr>
          <w:b/>
        </w:rPr>
        <w:t xml:space="preserve">Quelle: </w:t>
      </w:r>
      <w:r>
        <w:t>https://mcp.opencaselaw.ch/entscheid/bvger_D-8328_2008</w:t>
      </w:r>
    </w:p>
    <w:p>
      <w:r>
        <w:t>FR: TAF D-8328/2008 du 22 juillet 2011</w:t>
      </w:r>
    </w:p>
    <w:p>
      <w:r>
        <w:t>IT: TAF D-8328/2008 del 22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anlässlich seiner Anhörung durch die Schweizer Asylbehörden sowie in der Beschwerdeschrift namentlich damit, er sei von seinem früheren Arbeitgeber in Afghanistan mehrere Male sexuell missbraucht worden. Da sein Vater ein gestrenger und gewaltbereiter Patriarch sei, von den sexuellen Übergriffen nichts wisse und sein früherer Arbeitgeber ihn überdurchschnittlich gut entlöhnt habe, müsse er bei einer Rückkehr in seine Heimat gewärtigen, von seinem Vater erneut gezwungen zu werden, beim vormaligen Arbeitgeber zu arbeiten, was ihn erneut der Gefahr sexueller Übergriffe aussetze. Darüber hinaus bestehe auch die Gefahr, dass er seitens der afghanischen Behörden oder der Stammesführer seines Dorfes Verfolgungshandlungen ausgesetzt sein könnte, falls diesen die sexuellen Übergriffe bekannt werden sollten.</w:t>
      </w:r>
    </w:p>
    <w:p>
      <w:r>
        <w:rPr>
          <w:b/>
        </w:rPr>
        <w:t>E. 4.2</w:t>
      </w:r>
    </w:p>
    <w:p>
      <w:r>
        <w:t>Die Vorinstanz scheint in ihrer Verfügung vom 28. November 2008 von der Annahme auszugehen, die vom Beschwerdeführer geltend gemachten mehrfachen sexuellen Übergriffe auf seine Person stellten grundsätzlich eine geschlechtsspezifische Verfolgung im Sinne von Art. 3 Abs. 2 in fine AsylG dar und seien daher im Allgemeinen auch asylrechtlich relevant. Sie verkennt dabei allerdings, dass auch sexuelle Übergriffe erst dann die Flüchtlingseigenschaft zu begründen vermögen, wenn sie aus einem der in Art. 3 Abs. 1 AsylG genannten Gründe (Rasse, Religion, Nationalität, Zugehörigkeit zu einer bestimmten sozialen Gruppe, politische Anschauung) erfolgen. Ein derartiges Verfolgungsmotiv (vgl. hierzu beispielsweise Walter Kälin, Grundriss des Asylverfahrens, Basel/Frankfurt a. M. 1990, S. 86 ff.; Alberto Achermann/Christina Hausammann, Handbuch des Asylrechts, 2. Aufl., Bern/Stuttgart 1991, S. 95 ff.; Walter Stöckli, Asyl, in: Uebersax/Rudin/Hugi/Yar/Geiser [Hrsg.], Ausländerrecht, 2. Aufl., Basel 2009, Rz. 11.10 - 11.12) ist aus den vorliegenden Akten indessen nicht ersichtlich, erklärte der Beschwerdeführer anlässlich seiner Anhörung durch das BFM vom 5. Mai 2008 doch, sein früherer Arbeitgeber habe sich aus "Lust" an ihm vergangen (vgl. act. A19/12 S. 6 Antwort 58). So besehen, handelt es sich bei den vom Beschwerdeführer geschilderten sexuellen Übergriffen schlicht um gemeinrechtliche Straftaten, welche keine Verfolgung im asylrechtlichen Sinne darzustellen vermögen.</w:t>
      </w:r>
    </w:p>
    <w:p>
      <w:r>
        <w:rPr>
          <w:b/>
        </w:rPr>
        <w:t>E. 4.3</w:t>
      </w:r>
    </w:p>
    <w:p>
      <w:r>
        <w:t>Der Beschwerdeführer äussert überdies die Befürchtung, er könnte in Afghanistan wegen Homosexualität zu einer schweren Strafe verurteilt werden, falls die sexuellen Übergriffe den afghanischen Behörden beziehungsweise dem Stammesführer seines Dorfes bekannt würden, zumal es in Afghanistan in diesem Kontext an einer Differenzierung zwischen Täter- und Opferrolle fehle. Es ist nun aber a priori nicht ersichtlich, wie den heimatlichen Behörden die vom Beschwerdeführer geschilderten sexuellen Übergriffe bekannt werden sollten, dürften doch angesichts der behaupteten staatlichen Pönalisierung der Homosexualität in Afghanistan weder er selbst noch sein früherer Arbeitgeber das geringste Interesse daran haben, die früheren Vorkommnisse publik zu machen. Darüber hinaus hat der Beschwerdeführer unmissverständlich zum Ausdruck gebracht, sich in dieser Angelegenheit niemandem anvertraut zu haben (vgl. act. A19/12 S. 7 Frage und Antwort 73 f.).</w:t>
      </w:r>
    </w:p>
    <w:p>
      <w:r>
        <w:rPr>
          <w:b/>
        </w:rPr>
        <w:t>E. 4.4</w:t>
      </w:r>
    </w:p>
    <w:p>
      <w:r>
        <w:t>Zusammenfassend ist daher festzuhalten, dass es dem Beschwerdeführer nicht gelungen ist, eine asylrechtlich erhebliche Verfolgungsgefahr nachzuweisen oder zumindest glaubhaft zu machen. Es erübrigt sich, auf weitere Vorbringen in der Beschwerde einzugehen, da diese am Ergebnis nichts zu ändern vermögen. Das Bundesamt hat das Asylgesuch des Beschwerdeführers demnach im Ergebnis zu Recht abgelehnt.</w:t>
      </w:r>
    </w:p>
    <w:p>
      <w:r>
        <w:rPr>
          <w:b/>
        </w:rPr>
        <w:t>E. 5.1</w:t>
      </w:r>
    </w:p>
    <w:p>
      <w:r>
        <w:t>Lehnt das Bundesamt das Asylgesuch ab oder tritt es darauf nicht ein, so verfügt es in der Regel die Wegweisung aus der Schweiz (Art. 44 Abs. 1 AsylG). Gemäss Art. 32 Bst. a der Asylverordnung 1 vom 11. August 1999 über Verfahrensfragen (AsylV 1, SR 142.311) wird die Wegweisung nicht verfügt, wenn die asylsuchende Person im Besitz einer gültigen Aufenthalts- oder Niederlassungsbewilligung ist.</w:t>
      </w:r>
    </w:p>
    <w:p>
      <w:r>
        <w:rPr>
          <w:b/>
        </w:rPr>
        <w:t>E. 5.2</w:t>
      </w:r>
    </w:p>
    <w:p>
      <w:r>
        <w:t>Der Beschwerdeführer verfügt bis zum jetzigen Zeitpunkt weder über eine ausländerrechtliche Aufenthaltsbewilligung noch über einen Anspruch auf Erteilung einer solchen. Die Wegweisung wurde daher zu Recht angeordnet (vgl. BVGE 2008/34 E. 9.2 S. 510; Entscheidungen und Mitteilungen der ehemaligen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6.2</w:t>
      </w:r>
    </w:p>
    <w:p>
      <w:r>
        <w:t>Nachdem das BFM im Rahmen des Schriftenwechsels mit Verfügung vom 28. April 2011 die angefochtene Verfügung vom 28. November 2008 teilweise - nämlich den Wegweisungsvollzug betreffend - in Wiedererwägung gezogen und die vorläufige Aufnahme des Beschwerdeführers angeordnet hat, ist das vorliegende Verfahren gegenstandslos geworden, soweit in der Beschwerde im Eventualbegehren beantragt wird, es sei die Unzulässigkeit, Unzumutbarkeit beziehungsweise Unmöglichkeit des Wegweisungsvollzugs festzustellen und die vorläufige Aufnahme anzuordnen. Die Beschwerde ist mithin insoweit zufolge Wegfalls des Streitgegenstandes als gegenstandslos geworden abzuschreiben. Damit erübrigen sich weitere Ausführungen zur Durchführbarkeit des Wegweisungsvollzugs.</w:t>
      </w:r>
    </w:p>
    <w:p>
      <w:r>
        <w:rPr>
          <w:b/>
        </w:rPr>
        <w:t>E. 7</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8.1</w:t>
      </w:r>
    </w:p>
    <w:p>
      <w:r>
        <w:t>Der Beschwerdeführer ist im vorliegenden Verfahren unterlegen, soweit er im Hauptbegehren beantragt, die Verfügung des BFM vom 28. No­vember 2008 sei aufzuheben, seine Flüchtlingseigenschaft festzustellen und ihm Asyl zu gewähren, weshalb er grundsätzlich in reduziertem Umfang kostenpflichtig wird (vgl. Art. 63 Abs. 1 VwVG). Da sich die Beschwerde vom 27. Dezember 2008 überdies, soweit sie nicht durch die teilweise Gutheissung der Beschwerde gegenstandslos geworden ist, als im Asylpunkt aussichtslos erweist, ist das Gesuch um Gewährung der unentgeltlichen Rechtspflege im Sinne von Art. 65 Abs. 1 VwVG abzuweisen. Somit sind dem Beschwerdeführer die Kosten des Verfahrens zur Hälfte beziehungsweise im Umfang von Fr. 300.- aufzuerlegen.</w:t>
      </w:r>
    </w:p>
    <w:p>
      <w:r>
        <w:rPr>
          <w:b/>
        </w:rPr>
        <w:t>E. 8.2</w:t>
      </w:r>
    </w:p>
    <w:p>
      <w:r>
        <w:t>Sodann sind bei einem gegenstandslos gewordenen Verfahren die Kosten jener Partei aufzuerlegen, deren Verhalten die Gegenstandslosigkeit bewirkt hat (Art. 5 des Reglements vom 21. Februar 2008 über die Kosten und Entschädigungen vor dem Bundesverwaltungsgericht [VGKE, SR 173.320.2]). Im vorliegenden Fall hat das BFM die Gegenstandslosigkeit des Beschwerdeverfahrens durch die wiedererwägungsweise Anordnung der vorläufigen Aufnahme im Rahmen des Schriftenwechsels bewirkt. Dem BFM sind jedoch keine Verfahrenskosten aufzuerlegen (Art. 64 Abs. 2 VwVG).</w:t>
      </w:r>
    </w:p>
    <w:p>
      <w:r>
        <w:rPr>
          <w:b/>
        </w:rPr>
        <w:t>E. 9</w:t>
      </w:r>
    </w:p>
    <w:p>
      <w:r>
        <w:t>Dem Beschwerdeführer ist - soweit die Gegenstandslosigkeit des Verfahrens durch das BFM bewirkt wurde - für die ihm erwachsenen notwendigen Kosten eine Parteientschädigung zuzusprechen (Art. 15 i.V.m. Art. 5 VGKE). Die Rechtsvertreterin des Beschwerdeführers hat keine Kostennote eingereicht, der Vertretungsaufwand ist jedoch aufgrund der Akten zuverlässig abschätzbar, weshalb auf die Einholung einer Kostennote zu verzichten ist. Unter Berücksichtigung der massgebenden Berechnungsfaktoren (vgl. Art. 9 - 11 VGKE) ist die praxisgemäss um die Hälfte zu reduzierende Parteientschädigung auf Fr. 700.- (inklusive Auslagen und Mehrwertsteuer) festzusetzen und das BFM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