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D-8326/2010 vom 31. Januar 2011</w:t>
      </w:r>
    </w:p>
    <w:p>
      <w:r>
        <w:t>Bundesverwaltungsgericht, 2011-01-31, DE</w:t>
      </w:r>
    </w:p>
    <w:p>
      <w:r>
        <w:rPr>
          <w:b/>
        </w:rPr>
        <w:t xml:space="preserve">Quelle: </w:t>
      </w:r>
      <w:r>
        <w:t>https://mcp.opencaselaw.ch/entscheid/bvger_D-8326_2010</w:t>
      </w:r>
    </w:p>
    <w:p>
      <w:r>
        <w:t>FR: TAF D-8326/2010 du 31 janvier 2011</w:t>
      </w:r>
    </w:p>
    <w:p>
      <w:r>
        <w:t>IT: TAF D-8326/2010 del 31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3.2</w:t>
      </w:r>
    </w:p>
    <w:p>
      <w:r>
        <w:t>Vorliegend wurde die Beschwerdeführerin von der schweizerischen Vertretung in Bogotá nicht zu ihrem Asylgesuch befragt. Sie hat ihre Vorbrin­gen jedoch bereits in ihrem Asylgesuch schriftlich dargelegt und do­kumentiert. Ausserdem wurde ihr danach mit Zwischenverfügung des BFM vom 19. August 2010 das rechtliche Gehör im Hinblick auf die in Erwägung gezogene Abweisung des Asylgesuchs gewährt. Sie hat von ihrem diesbezüglichen Recht auf Stellungnahme in der Folge Gebrauch gemacht. Wie das BFM in der angefochtenen Verfügung zu Recht ausführt, erscheint der entscheidwesentliche Sachverhalt angesichts der schriftlichen Darlegung und Dokumentierung der Asylgründe und der von der Beschwerdeführerin am 17. September 2010 abgegebenen Stellung-nahme rechtsgenüglich erstellt. Das BFM hat den ver­fahrensrechtlichen Anforderungen damit Genüge getan.</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Nach Prüfung der Akten gelangt das Bundesverwaltungsgericht zu­nächst zum Schluss, dass die Vorinstanz zutreffend festgestellt hat, die Be­schwerdeführerin habe in ihrem Gesuch keine besonders nahen Bezie­hungen zur Schweiz geltend gemacht. Im Weiteren hat das BFM zu Recht erwogen, dass es der Beschwerdeführerin zuzumuten sei, in einem anderen Land um Asylgewährung nachzusuchen (Art. 52 Abs. 2 AsylG). So sind beispielsweise die Nachbarstaaten Brasilien, Ecuador, Panama und Peru Vertragsparteien sowohl des Abkommens vom 28. Juli 1951 über die Rechtsstellung der Flüchtlinge (FK, SR 0.142.30)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der Beschwerdeführerin prak­tisch unmöglich oder objektiv unzumutbar, sich in einen anderen Staat - insbesondere in einen der Nachbarstaaten Kolumbiens - zu bege­ben (vgl. EMARK 2004 Nr. 20 und 1997 Nr. 15). Dies gilt umso mehr, als es sich bei der Be­schwerdeführerin nicht um eine landesweit be­kannte Persönlichkeit handelt, die aufgrund einer besonders exponier-ten Stellung auch bei einer Flucht ins nahe Ausland allenfalls befürchten müsste, verfolgt zu werden. Die Ausführungen in der Beschwerde-ein­gabe, in welcher weitgehend der bereits bekannte Sachverhalt wieder-holt wird, vermögen im Ergebnis an dieser Einschätzung nichts zu än­dern.</w:t>
      </w:r>
    </w:p>
    <w:p>
      <w:r>
        <w:rPr>
          <w:b/>
        </w:rPr>
        <w:t>E. 5.2</w:t>
      </w:r>
    </w:p>
    <w:p>
      <w:r>
        <w:t>Zudem steht der Beschwerdeführerin - wie der Wegzug aus ihrem frü­heren Wohnort B._______ zeigt - eine innerstaatliche Flucht-alternative zur Verfügung, zumal sie nie geltend gemacht hat, sie sei nach ihrem dortigen Weggang im Juli 2010 weiteren konkreten Verfolgungs-handlungen insbesondere seitens der FARC ausgesetzt gewesen.</w:t>
      </w:r>
    </w:p>
    <w:p>
      <w:r>
        <w:rPr>
          <w:b/>
        </w:rPr>
        <w:t>E. 5.3</w:t>
      </w:r>
    </w:p>
    <w:p>
      <w:r>
        <w:t>Zusammenfassend ist damit festzuhalten, dass die Beschwerde-führerin aufgrund der Akten über keine Beziehungsnähe zur Schweiz verfügt, hingegen die Möglichkeit der anderweitigen Schutzsuche hat. Zudem ist eine innerstaatliche Fluchtalternative gegeben. Das BFM hat der Beschwerdeführerin daher zu Recht die Einreise in die Schweiz verweigert und ihr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7</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