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D-8272/2010 vom 4. April 2011</w:t>
      </w:r>
    </w:p>
    <w:p>
      <w:r>
        <w:t>Bundesverwaltungsgericht, 2011-04-04, DE</w:t>
      </w:r>
    </w:p>
    <w:p>
      <w:r>
        <w:rPr>
          <w:b/>
        </w:rPr>
        <w:t xml:space="preserve">Quelle: </w:t>
      </w:r>
      <w:r>
        <w:t>https://mcp.opencaselaw.ch/entscheid/bvger_D-8272_2010</w:t>
      </w:r>
    </w:p>
    <w:p>
      <w:r>
        <w:t>FR: TAF D-8272/2010 du 4 avril 2011</w:t>
      </w:r>
    </w:p>
    <w:p>
      <w:r>
        <w:t>IT: TAF D-8272/2010 del 4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Dem Antrag auf Verfahrensvereinigung mit dem Verfahren D-4906/2010 wird nicht ent­sprochen. Vorliegend wird das Verfahren des Beschwerdeführers separat von demjenigen seines Geschäftspartners sowie dessen Familie geführt, jedoch zeitlich mit diesem koordiniert.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 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E.5.2 E.5.3).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E.5.7), was vorliegend erfolgt ist (vgl. Er­wägung D. vorstehend). Ausserdem hat das BFM hat den Verzicht auf eine Befragung zu begründen (vgl. BVGE 2007/30 E.5.6-5.7), was das Bundesamt in casu getan hat.</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6.1</w:t>
      </w:r>
    </w:p>
    <w:p>
      <w:r>
        <w:t>Gemäss konstanter Schweizer Asylpraxis sind befürchtete Über­griffe nur dann einreiserelevant, wenn der Heimatstaat dafür entweder die Verantwortung trägt, indem er solche Handlungen anregt, unter­stützt oder nicht willens und in der Lage ist, dem Betroffenen den notwendigen Schutz zu gewähren. Der srilankische Staat gilt indes als schutzfähig, und der Beschwerdeführer hat demnach die Möglichkeit, sich an die Behörden zu wenden, um Schutz vor Verfolgung seitens Dritter zu ersuchen. Dies hat der Beschwerdeführer im vorliegenden Fall nach dem Schusswechsel vom 31. Januar 2010 aktenkundig auch getan. Seinen Aussagen zufolge hat die Polizei einen Rapport erstellt und den Fall untersucht. Ausser der Angabe des Beschwerdeführers, die Polizei habe ihm mitgeteilt, sie könne ihn nicht schützen, sind den Akten seien keine Hinweise zu entnehmen, welche auf eine Schutzunwilligkeit des Staates hindeuten würden. Den Angaben des Be­schwerdeführers zufolge will er sich danach nach Indien begeben haben. Es drängt sich daher der Eindruck auf, er habe es unterlassen, sich später nach dem Untersuchungsstand zu erkundigen, weshalb den srilankischen Behörden nicht vorgeworfen werden kann, sie seien ihrer Schutzfunktion nicht weiter nachgekommen.</w:t>
      </w:r>
    </w:p>
    <w:p>
      <w:r>
        <w:rPr>
          <w:b/>
        </w:rPr>
        <w:t>E. 6.2</w:t>
      </w:r>
    </w:p>
    <w:p>
      <w:r>
        <w:t>Der srilankische Staat nimmt seine Schutzpflicht im Rahmen des Möglichen wahr, auch wenn es im Einzelfall durchaus vorkommen kann, dass die Schutzgewährung unterbleibt oder nicht in ausreichendem Masse gewährt wird. Eine faktische Garantie des Schutzgewährens für lang­fristigen individuellen Schutz bedrohter Personen kann hingegen nicht verlangt werden. Keinem Staat gelingt es, die absolute Sicherheit aller seiner Bürger jederzeit und überall zu garantieren. Vom Staat kann nicht erwartet werden, dass er jede Person, die einen gewissen Ge­fährdungsgrad aufweist, einen um­fassenden Personenschutz zu­kommen lässt. Der Beschwerdeführer erfüllt somit aufgrund der Schutzfähigkeit und des Schutzwillens der srilankischen Behörden die Anforderungen an die Gewährung einer Einreisebewilligung nicht.</w:t>
      </w:r>
    </w:p>
    <w:p>
      <w:r>
        <w:rPr>
          <w:b/>
        </w:rPr>
        <w:t>E. 6.3</w:t>
      </w:r>
    </w:p>
    <w:p>
      <w:r>
        <w:t>Im Übrigen haben die srilankischen Behörden am 18. Mai 2009 den endgültigen Sieg über die LTTE verkündet und den Bürgerkrieg offiziell für beendet erklärt. In den letzten Tagen des Bürgerkrieges war nahezu die gesamte Führung der LTTE getötet worden. In einer am 24. Mai 2009 veröffentlichten Erklärung bestätigte die LTTE, dass ihr Anführer Velupillai Prabhakaran eine Woche zuvor bei Kämpfen mit Regierungstruppen im Nordosten von Sri Lanka getötet worden sei (vgl. Urteil des Bundesverwaltungsgerichts D-6328/2006 vom 4. Juni 2009 E. 5.2). Bei dieser Sachlage kann zur Vermeidung von Wiederholungen auf die Erwägungen der Vorinstanz in der angefochtenen Verfügung verwiesen werden.</w:t>
      </w:r>
    </w:p>
    <w:p>
      <w:r>
        <w:rPr>
          <w:b/>
        </w:rPr>
        <w:t>E. 6.4</w:t>
      </w:r>
    </w:p>
    <w:p>
      <w:r>
        <w:t>Unter diesen Umständen erübrigt es sich, auf die weiteren Vor­bringen in der Beschwerde im Einzelnen einzugehen, da sie am Er­gebnis nichts zu ändern vermögen. Es ist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Das Gesuch um Gewährung der unentgeltlichen Rechtspflege gemäss Art. 65 Abs. 1 VwVG ist abzuweisen, da die Beschwerde aufgrund vorstehender Erwägungen als aussichtslos erscheint. Das Gesuch um Verzicht auf die Erhebung eines Kostenvorschusses ist angesichts des Entscheides in der Hauptsache gegenstandslos geworden.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