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D-8253/2008 vom 2. August 2011</w:t>
      </w:r>
    </w:p>
    <w:p>
      <w:r>
        <w:t>Bundesverwaltungsgericht, 2011-08-02, DE</w:t>
      </w:r>
    </w:p>
    <w:p>
      <w:r>
        <w:rPr>
          <w:b/>
        </w:rPr>
        <w:t xml:space="preserve">Quelle: </w:t>
      </w:r>
      <w:r>
        <w:t>https://mcp.opencaselaw.ch/entscheid/bvger_D-8253_2008</w:t>
      </w:r>
    </w:p>
    <w:p>
      <w:r>
        <w:t>FR: TAF D-8253/2008 du 2 août 2011</w:t>
      </w:r>
    </w:p>
    <w:p>
      <w:r>
        <w:t>IT: TAF D-8253/2008 del 2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2 und 3 des Dispositivs der vorinstanzlichen Verfügung vom 21. November 2008 betreffend die Verneinung der Flüchtlingseigenschaft, die Ablehnung des Asylgesuchs und die Wegweisung als solche blieben vorliegend unangefochten und sind damit in Rechtskraft erwachsen. Die Beschwerde richtet sich einzig gegen den Vollzug der Wegweisung. Gegenstand des vorliegenden Beschwerdeverfahrens bildet somit ausschliesslich die Frage, ob das Bundesamt den Vollzug der Wegweisung zu Recht als zulässig, zumutbar und möglich erklärt hat.</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 S. 748). Wie nachstehend ausgeführt, erweist sich der Vollzug der Weg­weisung vorlie­gend als un­zu­mutbar. Damit kann praxisgemäss auf eine Erörterung der beiden andern Voraus­setzungen eines rechtmäs­si­gen Wegweisungsvollzugs verzichtet werden (etwa BVGE 2009/51 E. 5.4).</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w:t>
      </w:r>
    </w:p>
    <w:p>
      <w:r>
        <w:t>Das BFM führte in seiner Verfügung vom 21. November 2008 zur Zumutbarkeit des Wegweisungsvollzuges aus, zwar habe sich die allgemeine Sicherheitslage in Afghanistan in der letzten Zeit verschlechtert und die Situation bleibe angespannt, doch könne nicht von einer konkreten Gefährdung der gesamten Bevölkerung oder von einer Situation allgemeiner Gewalt im Sinne von Art. 83 Abs. 4 AuG ausgegangen werden. Die Situation in den nördlichen Provinzen Parwan, Baghlan, Takhar, Badakshan, Kunduz, Balkh, Sari Pul sowie in Kabul, in der westlichen Provinz Herat und in Bamiyan, der zentralen Provinz des Hazarajat, sei nach der Einschätzung des Bundesamtes weiterhin als grundsätzlich sicher einzustufen. Zudem würden auch keine individuellen Gründe gegen die Zumutbarkeit eines Wegweisungsvollzuges sprechen. Aus den Angaben des Beschwerdeführers sei zu entnehmen, dass in Herat Verwandte von ihm leben würden. Deshalb verfüge er ausser in seiner Herkunftsprovinz an einem vom BFM als sicher eingestuften Ort über ein verwandtschaftliches Beziehungsnetz und entsprechenden Wohnraum. Seine beruflichen Erfahrungen auf dem Bau vor der Ausreise sollten es ihm ermöglichen, sich nach der Rückkehr wieder neue Lebensgrundlagen aufbauen zu können.</w:t>
      </w:r>
    </w:p>
    <w:p>
      <w:r>
        <w:rPr>
          <w:b/>
        </w:rPr>
        <w:t>E. 4.3</w:t>
      </w:r>
    </w:p>
    <w:p>
      <w:r>
        <w:t>In der Beschwerde wird demgegenüber auf die Rechtsprechung des Bundesverwaltungsgerichts verwiesen, welche eine Wegweisung in die Provinz Ghazni als unzumutbar und eine solche in die Provinz Herat nur unter sehr restriktiven Bedingungen als zumutbar erachte. Weiter wurde in der Eingabe vorgebracht, dass in Herat eine (...) des Beschwerdeführers mit ihrer Familie lebe. Zu ihr habe er nie engen Kontakt gehabt. Die vom BFM verfügte Wegweisung des Beschwerdeführers nach Afghanistan sei somit in klarer Missachtung der konstanten Rechtsprechung des Bundesveraltungsgerichts ergangen. Zudem habe sich die Situation in Afghanistan weiterhin verschlechtert.</w:t>
      </w:r>
    </w:p>
    <w:p>
      <w:r>
        <w:rPr>
          <w:b/>
        </w:rPr>
        <w:t>E. 5.1</w:t>
      </w:r>
    </w:p>
    <w:p>
      <w:r>
        <w:t>In der vorliegend zu berücksichtigenden Rechtsprechung hatte sich die vormalige Schweizerische Asylrekurskommission (ARK) in den Grundsatzurteilen Entscheidungen und Mitteilungen der Schweizerischen Asylrekurskommission [EMARK] 2003 Nrn. 10 und 30 eingehend zur La­ge in Afghanistan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grund­sätz­lich zumut­bar qualifiziert. In EMARK 2006 Nr. 9 bestätigte und ergänzte die ARK ihre Recht­sprechung aus dem Jahre 2003. Zusätzlich zu Kabul bezeichnete sie den Wegweisungsvollzug in jene Regionen Afghanistans als grundsätzlich zu­mut­bar, in welchen seit 2004 keine signifikanten militärischen Aktionen zu verzeichnen und die keiner dauernden Unsicherheit ausgesetzt waren. Der Wegweisungsvollzug wurde demgemäss zusätzlich zu Kabul in wei­tere, abschliessend aufgezählte Provinzen (Parwan, Baghlan, Takhar, Ba­dakh­shan, Kunduz, Balkh, Sari Pul, Herat und die Gegend von Saman­gan, die nicht zum Hazarajat zu zählen ist) als grundsätzlich zumutbar de­fi­niert. In den übrigen östlichen, südlichen und südöstlichen Provinzen be­stand hingegen weiterhin eine allgemeine Gewaltsituation, weshalb der Weg­weisungsvollzug dorthin nach wie vor als generell unzumutbar qualifi­ziert wurde (EMARK 2006 Nr. 9 E. 7.5.3 und 7.8). Mit neuster Lagebeurteilung kommt das Bundesverwaltungsgericht im zu publizierenden Länderurteil BVGE E-7625/2008 vom 16. Juni 2011 zum Schluss, dass in weiten Teilen von Afghanistan - ausser allenfalls in den Grossstädten - eine derart schlechte Sicherheitslage und derart schwierige humanitäre Bedingungen bestehe,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in die Hauptstadt unter Umständen als zumutbar qualifiziert werden. Solche Umstände könnten grundsätzlich namentlich dann gegeben sein, wenn es sich beim Rückkehrer um einen jungen, gesunden Mann handle. Allerdings müssten zudem die bereits in EMARK 2003 Nr. 10 formulierten strengen Bedingungen in jedem Einzelfall sorgfältig geprüft werden. Unabdingbar sei in erster Linie ein soziales Netz, das sich im Hinblick auf die Aufnahme und Wiedereingliederung des Rückkehrers als tragfähig erweise. Denn ohne Unterstützung durch Familie oder Bekannte würden die schwierigen Lebensverhältnisse auch in der Stadt Kabul unweigerlich zu einer existenziellen beziehungsweise lebensbedrohlichen Situation führen. Bezüglich der Grossstädte Mazar-i-Sharif und Herat wurde die Frage offengelassen.</w:t>
      </w:r>
    </w:p>
    <w:p>
      <w:r>
        <w:rPr>
          <w:b/>
        </w:rPr>
        <w:t>E. 5.2</w:t>
      </w:r>
    </w:p>
    <w:p>
      <w:r>
        <w:t>Vorliegend stammt der Beschwerdeführer nicht aus einer Grossstadt, sondern aus B._______ in der Provinz Ghazni. Ein Wegweisungsvollzug dorthin ist gemäss den vorstehenden Ausführungen nach wie vor unzumutbar und war es auch zum Zeitpunkt des Erlasses der Verfügung des BFM vom 21. November 2008, wie in der Beschwerde zu Recht festgestellt wurde.</w:t>
      </w:r>
    </w:p>
    <w:p>
      <w:r>
        <w:rPr>
          <w:b/>
        </w:rPr>
        <w:t>E. 5.3</w:t>
      </w:r>
    </w:p>
    <w:p>
      <w:r>
        <w:t>Das BFM geht, zusätzlich zur Zumutbarkeit einer Wegweisung nach Ghazni, auch von der Zumutbarkeit einer Wegweisung des Beschwerdeführers nach Herat aus, da er dort ein verwandtschaftliches Beziehungsnetz und gesicherten Wohnraum habe. Die blosse Tatsache, dass der Beschwerdeführer vor vier Jahren angab, in Herat eine (...) zu haben, genügt - gesehen an den oben dargelegten strengen Voraussetzungen unter welchen eine Wegweisung als zumutbar zu erachten ist - mit Sicherheit nicht; ohne jegliche Abklärungen kann weder von einer sozialen Unterstützung und der Sicherung eines Existenzminimums noch von einer gesicherten Wohnsituation für den Beschwerdeführer in Herat ausgegangen werden. Dies umso mehr, als er in der Beschwerde ausführt, nie direkten persönlichen Kontakt mit seiner (...) gehabt zu haben und diese im Übrigen eine eigene Familie habe und nicht noch für ihn aufkommen könne. Zusammenfassend kann also festgehalten werden, dass der Vollzug der Wegweisung aus der Schweiz nach Afghanistan für den Beschwerdeführer zur Zeit nicht zumutbar ist.</w:t>
      </w:r>
    </w:p>
    <w:p>
      <w:r>
        <w:rPr>
          <w:b/>
        </w:rPr>
        <w:t>E. 5.4</w:t>
      </w:r>
    </w:p>
    <w:p>
      <w:r>
        <w:t>Da sich den Akten keinerlei Hinweise entnehmen lassen, wonach der Beschwerdeführer einen der Tatbestände von Art. 83 Abs. 7 AuG (Ausschluss von der vorläufigen Aufnahme) erfüllen würde, ist die Beschwerde, welche sich auf den Vollzug der Wegweisung beschränkte, vollumfänglich gutzuheissen und das BFM anzuweisen, den Beschwerdeführer infolge Unzumutbarkeit des Wegweisungsvollzuges vorläufig aufzunehmen.</w:t>
      </w:r>
    </w:p>
    <w:p>
      <w:r>
        <w:rPr>
          <w:b/>
        </w:rPr>
        <w:t>E. 6</w:t>
      </w:r>
    </w:p>
    <w:p>
      <w:r>
        <w:t>Bei diesem Ausgang des Verfahrens sind keine Kosten aufzuerlegen (Art. 63 Abs. 1 VwVG)</w:t>
      </w:r>
    </w:p>
    <w:p>
      <w:r>
        <w:rPr>
          <w:b/>
        </w:rPr>
        <w:t>E. 7</w:t>
      </w:r>
    </w:p>
    <w:p>
      <w:r>
        <w:t>Dem Beschwerdeführer ist in Anwendung von Art. 64 Abs. 1 VwVG eine Parteientschädigung für die ihm erwachsenen notwendigen Vertretungskosten zuzusprechen (vgl. Art. 7 des Reglements vom 21. Februar 2008 über die Kosten und Entschädigungen vor dem Bundesverwaltungsgericht [VGKE, SR 173.320.2]). Die Rechtsvertreterin des Beschwerdeführers hat am 2. März 2011 (Poststempel) eine Honorarnote im Gesamtbetrag von Fr. 1'466.- zu den Akten gereicht. Der darin veranschlagte Stundenansatz von Fr. 150.- (zuzüglich Mehrwertsteuer) bewegt sich im gemäss Art. 10 Abs. 2 VGKE vorgesehenen Rahmen. Jedoch ist das Erstellen einer Honorarnote als Sekretariatsarbeit im Stundenansatz für Anwälte mitenthalten und deshalb nicht separat zu vergüten. Der in der Honorarnote geltend gemachten Aufwand ist insoweit zu berichtigen beziehungsweise um 15 Minuten zu kürzen. Angesichts des in der Honorarnote geltend gemachten weiteren Aufwandes ist die Parteientschädigung auf Fr. 1'425.90 (inkl. Auslagen und Mehrwertsteuer) festzusetzen und das BFM ist anzuweisen, dem Beschwerdeführer diesen Betrag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