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D-8232/2024 vom 5. März 2025</w:t>
      </w:r>
    </w:p>
    <w:p>
      <w:r>
        <w:t>Bundesverwaltungsgericht, 2025-03-05, DE</w:t>
      </w:r>
    </w:p>
    <w:p>
      <w:r>
        <w:rPr>
          <w:b/>
        </w:rPr>
        <w:t xml:space="preserve">Quelle: </w:t>
      </w:r>
      <w:r>
        <w:t>https://mcp.opencaselaw.ch/entscheid/bvger_D-8232_2024</w:t>
      </w:r>
    </w:p>
    <w:p>
      <w:r>
        <w:t>FR: TAF D-8232/2024 du 5 mars 2025</w:t>
      </w:r>
    </w:p>
    <w:p>
      <w:r>
        <w:t>IT: TAF D-8232/2024 del 5 marzo 2025</w:t>
      </w:r>
    </w:p>
    <w:p>
      <w:pPr>
        <w:pStyle w:val="Heading2"/>
      </w:pPr>
      <w:r>
        <w:t>Regeste</w:t>
      </w:r>
    </w:p>
    <w:p>
      <w:r>
        <w:t>Asyl und Wegweisung</w:t>
      </w:r>
    </w:p>
    <w:p>
      <w:pPr>
        <w:pStyle w:val="Heading2"/>
      </w:pPr>
      <w:r>
        <w:t>Erwägungen</w:t>
      </w:r>
    </w:p>
    <w:p>
      <w:r>
        <w:rPr>
          <w:b/>
        </w:rPr>
        <w:t>E. 19</w:t>
      </w:r>
    </w:p>
    <w:p>
      <w:r>
        <w:t>Dezember 2024 [als Referenzurteil publiziert] E. 8.2 m.w.H.), dass – entgegen ihren pauschalen Befürchtungen – auch nichts darauf schliessen lässt, die Beschwerdeführenden könnten aufgrund ihres sich seit Jahren in Haft befindenden Ehemannes respektive Vaters mit beacht- licher Wahrscheinlichkeit und in absehbarer Zukunft von Reflexverfol- gungsmassnahmen betroffen sein, dass das älteste Kind diese Einschätzung denn auch bestätigte, indem es zu Protokoll gab, abgesehen von der Jahre zurückliegenden Inhaftierung seines Vaters, habe es für die Beschwerdeführenden keinen Grund gege- ben, den Heimatstaat zu verlassen (vgl. A36/12 F53), dass es den Beschwerdeführenden somit nicht gelingt, die Flüchtlings- eigenschaft nachzuweisen oder zumindest glaubhaft zu machen, weshalb die Vorinstanz die Asylgesuche zu Recht abgelehnt hat, dass die Anordnung der Wegweisung aus der Schweiz im Einklang mit den gesetzlichen Bestimmungen steht und zu bestätigen ist, da die Beschwer- deführenden insbesondere weder über einen Aufenthaltstitel für die Schweiz noch über eine Anspruchsgrundlage auf Erteilung eines solchen verfügen (Art. 44 [erster Satz] AsylG; BVGE 2013/37 E. 4.4 und 2009/50 E. 9, je m.w.H.), dass das SEM das Anwesenheitsverhältnis nach den gesetzlichen Bestim- mungen über die vorläufige Aufnahme regelt, wenn der Vollzug der</w:t>
      </w:r>
    </w:p>
    <w:p>
      <w:r>
        <w:t>D-8232/2024 Seite 6 Wegweisung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bürgerkriegsähnlichen Verhältnissen auszugehen ist (vgl. Urteil des BVGer D-7194/2023 vom 3. April 2024 E. 8.3.2.1 m.w.H.), dass hinsichtlich der Zumutbarkeit des Wegweisungsvollzugs im Übrigen vollumfänglich auf die zutreffenden Ausführungen in der angefochtenen Verfügung verwiesen werden kann (vgl. A50/12 S. 9 f.), welche die Be- schwerdeführenden nicht substantiiert bestreiten, dass entgegen der Beschwerdeschrift auch das Kindeswohl dem Vollzug der Wegweisung nicht entgegensteht, zumal sich die entsprechenden Aus- führungen auf Beschwerdeebene in pauschalen Vorbringen zur Integration der Kinder in der Schweiz erschöpfen, aus welcher sie angesichts ihres lediglich zweijährigen Aufenthalts hierzulande offensichtlich nichts zu ihren Gunsten abzuleiten vermögen, dass sich der Vollzug der Wegweisung somit in allgemeiner wie auch in individueller Hinsicht als zumutbar erweist, dass es den Beschwerdeführenden obliegt, sich die für ihre Rückkehr al- lenfalls benötigten Reisedokumente zu beschaffen (Art. 8 Abs. 4 AsylG; vgl. BVGE 2008/34 E. 12), weshalb der Vollzug der Wegweisung auch als möglich zu bezeichnen ist, dass die Anordnung der vorläufigen Aufnahme somit ausser Betracht fällt (Art. 83 Abs. 1-4 AIG),</w:t>
      </w:r>
    </w:p>
    <w:p>
      <w:r>
        <w:t>D-8232/2024 Seite 7 dass nach dem Gesagten die angefochtene Verfügung zu bestätigen und die eingereichte Beschwerde als offensichtlich unbegründet abzuweisen ist, dass bei diesem Ausgang des Verfahrens die Kosten den Beschwerde- führenden aufzuerlegen (Art. 63 Abs. 1 VwVG) und auf insgesamt Fr. 750.– festzusetzen sind (Art. 1–3 des Reglements vom 21. Februar 2008 über die Kosten und Entschädigungen vor dem Bundesverwaltungs- gericht [VGKE, SR 173.320.2]), wobei sie durch den in gleicher Höhe ge- leisteten Kostenvorschuss gedeckt sind.</w:t>
      </w:r>
    </w:p>
    <w:p>
      <w:r>
        <w:t>(Dispositiv nächste Seite)</w:t>
      </w:r>
    </w:p>
    <w:p>
      <w:r>
        <w:t>D-8232/2024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