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D-8199/2008 vom 18. Februar 2009</w:t>
      </w:r>
    </w:p>
    <w:p>
      <w:r>
        <w:t>Bundesverwaltungsgericht, 2009-02-18, FR</w:t>
      </w:r>
    </w:p>
    <w:p>
      <w:r>
        <w:rPr>
          <w:b/>
        </w:rPr>
        <w:t xml:space="preserve">Quelle: </w:t>
      </w:r>
      <w:r>
        <w:t>https://mcp.opencaselaw.ch/entscheid/bvger_D-8199_2008</w:t>
      </w:r>
    </w:p>
    <w:p>
      <w:r>
        <w:t>FR: TAF D-8199/2008 du 18 février 2009</w:t>
      </w:r>
    </w:p>
    <w:p>
      <w:r>
        <w:t>IT: TAF D-8199/2008 del 18 febbraio 2009</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let. c PA, applicable par renvoi de l'art. 37 LTAF). Présenté dans la forme (cf. art. 52 PA) et le délai (cf. art. 108 al. 1 LAsi)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seulement lorsqu'elle constitue une « demande de reconsidération qualifiée », c'est-à-dire lorsqu'il s'agit d'une « demande d'adaptation », autrement dit si le requérant se prévaut d'une modification notable de circonstances intervenu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2.3</w:t>
      </w:r>
    </w:p>
    <w:p>
      <w:r>
        <w:t>En outre, ces faits nouveaux et preuves nouvelles ne peuvent entraîner la révision que s'ils sont importants, c'est-à-dire de nature à influer de manière favorable - ensuite d'une appréciation juridique correcte - sur l'issue de la contestation ; cela suppose, en d'autres termes, que les faits nouveaux soient décisifs et que les moyens de preuve offerts soient propres à les établir (cf. JICRA 1995 n° 9 consid. 5 p. 80 s. ; Jean-François Poudret, Commentaire de la loi fédérale d'organisation judiciaire, vol. V, ad art. 137 OJF, Berne 1992, p. 18, 27 ss et 32 ss, Blaise Knapp, Précis de droit administratif, 4e éd., Bâle / Francfort-sur-le-Main 1991, p. 276, Fritz Gygi, Bundesverwaltungs-rechtspflege, Berne 1983, p. 262 s.).</w:t>
      </w:r>
    </w:p>
    <w:p>
      <w:r>
        <w:rPr>
          <w:b/>
        </w:rPr>
        <w:t>E. 3.1</w:t>
      </w:r>
    </w:p>
    <w:p>
      <w:r>
        <w:t>En l'espèce, l'intéressé a d'abord fondé sa demande de réexamen sur une modification de sa situation familiale, indiquant qu'il entretenait, depuis 2005, une relation quasi conjugale avec une personne titulaire d'une autorisation d'établissement en Suisse, avec laquelle il avait eu un enfant qu'il avait officiellement reconnu.</w:t>
      </w:r>
    </w:p>
    <w:p>
      <w:r>
        <w:rPr>
          <w:b/>
        </w:rPr>
        <w:t>E. 3.2</w:t>
      </w:r>
    </w:p>
    <w:p>
      <w:r>
        <w:t>Selon la jurisprudence de la CRA, sur laquelle il n'y a pas lieu de revenir, lorsqu'un droit à l'octroi d'une autorisation de séjour de police des étrangers naît après la clôture de la procédure d'asile, il n'y a pas motif à réexaminer une décision de renvoi prononcée à l'issue d'une procédure d'asile (cf. JICRA 2000 n° 30 p. 248 ss). Cette jurisprudence trouve application dans le cas d'espèce, dès lors que le recourant fait l'objet d'une décision de renvoi entrée en force et qu'il fait implicitement valoir, en invoquant sa situation familiale à l'appui de sa demande de réexamen du 24 novembre 2008, le droit à une autorisation de séjour. La question de la licéité de l'exécution renvoi, sous l'angle du droit au respect de la vie familiale garanti par l'art. 8 CEDH, ne peut être analysée dans le cadre d'une demande de réexamen d'une décision de renvoi consécutive à un refus d'asile prononcé par les autorités fédérales. En effet, la question de savoir si un demandeur d'asile définitivement débouté peut prétendre demeurer en Suisse, par exemple sur la base de la disposition précitée, ressortit alors aux autorités cantonales de police des étrangers compétentes en matière de délivrance d'autorisations de séjour.</w:t>
      </w:r>
    </w:p>
    <w:p>
      <w:r>
        <w:rPr>
          <w:b/>
        </w:rPr>
        <w:t>E. 3.3</w:t>
      </w:r>
    </w:p>
    <w:p>
      <w:r>
        <w:t>Il en découle que ce motif, tiré de la situation familiale du recourant en Suisse, n'est pas de nature à ouvrir la voie du réexamen et doit être déclaré irrecevable.</w:t>
      </w:r>
    </w:p>
    <w:p>
      <w:r>
        <w:rPr>
          <w:b/>
        </w:rPr>
        <w:t>E. 4.1</w:t>
      </w:r>
    </w:p>
    <w:p>
      <w:r>
        <w:t>Ensuite, l'intéressé a allégué souffrir de graves problèmes de santé et a produit plusieurs nouveaux moyens de preuve pour en attester. Ces affections sont survenues après la clôture de la procédure ordinaire d'asile du recourant. Il s'agit donc bien de motifs de réexamen dont l'ODM s'est à juste titre saisis comme objets de sa compétence.</w:t>
      </w:r>
    </w:p>
    <w:p>
      <w:r>
        <w:rPr>
          <w:b/>
        </w:rPr>
        <w:t>E. 4.2</w:t>
      </w:r>
    </w:p>
    <w:p>
      <w:r>
        <w:t>Dans sa décision attaquée, dit office a considéré qu'il n'était pas possible de se prononcer sur les éventuelles possibilités de traitement dans le pays d'origine de l'intéressé, dès lors que la véritable nationalité de celui-ci n'était pas connue. Il est vrai que le caractère licite, possible et raisonnablement exigible de l'exécution du renvoi, qui doit être examiné d'office, est limité par le devoir de collaboration du requérant à la constatation des faits. Le Tribunal ne saurait toutefois suivre cette argumentation en l'espèce. Il est constant que le recourant, dans le cadre de sa procédure ordinaire d'asile, a violé son obligation de collaborer en dissimulant son véritable pays d'origine, prétendant provenir de Sierra Leone sans pourtant disposer de connaissances suffisantes sur ce pays. La production, au stade de la présente procédure de recours, d'un certificat de naissance sensé émaner des autorités de Sierra Leone, ne saurait remettre en question ce constat. Ce document n'est d'ailleurs pas suffisant pour établir l'origine sierra-léonnienne de l'intéressé. En revanche, les investigations menées en vue d'exécuter le renvoi de l'intéressé ont révélé qu'il provenait de Guinée. Ces informations ont conduit les autorités guinéennes à reconnaître l'intéressé comme l'un de leur ressortissant et à délivrer à son nom, le [...], un titre de voyage tenant lieu de passeport. Compte tenu de ces éléments, il faut considérer que l'origine guinéenne du recourant est établie à suffisance. Il n'est dès lors plus possible de retenir que son pays d'origine est inconnu. Les obstacles médicaux à l'exécution du renvoi, invoqués à l'appui de la demande de réexamen du 24 novembre 2008, doivent donc être examinés en relation avec la Guinée, nonobstant le fait que le recourant n'a pas respecté son obligation de collaborer en procédure ordinaire d'asile.</w:t>
      </w:r>
    </w:p>
    <w:p>
      <w:r>
        <w:rPr>
          <w:b/>
        </w:rPr>
        <w:t>E. 4.3</w:t>
      </w:r>
    </w:p>
    <w:p>
      <w:r>
        <w:t>L'ODM a indiqué, dans sa décision dont est recours, qu'un suivi médicamenteux et thérapeutique pouvait être envisagé dans l'hypothétique pays africain d'où provenait l'intéressé, dès lors qu'il ne s'agissait pas de traitements de nature exceptionnelle. Ce faisant, dit office s'est prononcé sur les motifs médicaux invoqués par le recourant. Toutefois, pareille affirmation, toute générale, ne saurait constituer en l'espèce une motivation suffisante, permettant à l'intéressé, d'une part, de comprendre quels sont les éléments essentiels qui ont mené l'ODM à prononcer la décision en cause et, d'autre part, de contester celle-ci de façon satisfaisante devant l'autorité de recours (cf. notamment ATF 134 I 83 consid. 4.1 p. 88 et ATF 133 III 439 consid. 3.3. p. 445). Pour ce motif, la décision du 4 décembre 2008 doit être annulée et la cause renvoyée à l'ODM. Dit office est invité à se prononcer de manière complète et circonstanciée sur le caractère raisonnablement exigible de l'exécution du renvoi du recourant en Guinée, au regarde des problèmes médicaux invoqués.</w:t>
      </w:r>
    </w:p>
    <w:p>
      <w:r>
        <w:rPr>
          <w:b/>
        </w:rPr>
        <w:t>E. 5</w:t>
      </w:r>
    </w:p>
    <w:p>
      <w:r>
        <w:t>La cause devant être renvoyée à l'ODM pour nouvelle décision, il revient à cet office d'examiner la suite à donner à la requête émise par l'intéressé dans son courrier du 22 janvier 2009, s'agissant de la communication, sous forme de copies, de toutes les pièces au dossier relatives aux condamnations pénales dont il a été l'objet.</w:t>
      </w:r>
    </w:p>
    <w:p>
      <w:r>
        <w:rPr>
          <w:b/>
        </w:rPr>
        <w:t>E. 6</w:t>
      </w:r>
    </w:p>
    <w:p>
      <w:r>
        <w:t>Sur le vu de ce qui précède, le recours doit être admis, dans la mesure où il est recevable.</w:t>
      </w:r>
    </w:p>
    <w:p>
      <w:r>
        <w:rPr>
          <w:b/>
        </w:rPr>
        <w:t>E. 7.1</w:t>
      </w:r>
    </w:p>
    <w:p>
      <w:r>
        <w:t>Vu l'issue de la cause, il n'y a pas lieu de percevoir de frais de procédure.</w:t>
      </w:r>
    </w:p>
    <w:p>
      <w:r>
        <w:rPr>
          <w:b/>
        </w:rPr>
        <w:t>E. 7.2</w:t>
      </w:r>
    </w:p>
    <w:p>
      <w:r>
        <w:t>L'intéressé, qui a obtenu gain de cause, a droit à des dépens (cf. art. 64 al. 1 PA et art. 7 al. 1 du règlement du 21 février 2008 concernant les frais, dépens et indemnités fixés par le Tribunal administratif fédéral [FITAF, RS 173.320.2]). En l'absence de note d'honoraires émanant de son mandataire, le Tribunal fixe le montant de ceux-ci, ex aequo et bono, à Fr. 300.-, tenant notamment compte du fait que la décision de l'ODM a été annulée pour motivation insuffisante, motif qui n'était pas expressément soulevé dans le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