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D-8194/2010 vom 21. Februar 2012</w:t>
      </w:r>
    </w:p>
    <w:p>
      <w:r>
        <w:t>Bundesverwaltungsgericht, 2012-02-21, DE</w:t>
      </w:r>
    </w:p>
    <w:p>
      <w:r>
        <w:rPr>
          <w:b/>
        </w:rPr>
        <w:t xml:space="preserve">Quelle: </w:t>
      </w:r>
      <w:r>
        <w:t>https://mcp.opencaselaw.ch/entscheid/bvger_D-8194_2010</w:t>
      </w:r>
    </w:p>
    <w:p>
      <w:r>
        <w:t>FR: TAF D-8194/2010 du 21 février 2012</w:t>
      </w:r>
    </w:p>
    <w:p>
      <w:r>
        <w:t>IT: TAF D-8194/2010 del 21 febbraio 2012</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Eine eingehende Rechtsschrift ist als jenes Rechtsmittel beziehungsweise jener Rechtsbehelf entgegenzunehmen, dessen gesetzliche Voraussetzungen erfüllt sind, und nicht als jenes, als welches es von der Partei unrichtigerweise bezeichnet worden ist (vgl. Ulrich Zimmerli/Walter Kälin/Regina Kiener, Grundlagen des öffentlichen Verfahrensrechts, Bern 1997, S. 254 f.). Das Bundesamt hat in seinem Überweisungsschreiben vom 25. November 2010 seine Unzuständigkeit festgestellt und das Bundesverwaltungsgericht seinerseits hat seine Zuständigkeit in der Zwischenverfügung vom 29. November 2010 festgehalten, indem es erwog, die Eingabe vom 9. November 2010 sei vom Bundesverwaltungsgericht unter dem Titel der Revision zu prüfen. Auf diesen Entscheid zurückzukommen besteht kein Anlass, zumal die Gesuchstellerin in ihrer Eingabe vom 9. November 2010 selber beantragte, die Sache sei allenfalls dem Bundesverwaltungsgericht zur Behandlung als Revisionsgesuch zu überweisen. Das Wiedererwägungsgesuch der Gesuchstellerin vom 13. Dezember 2010 ist damit abzuweisen. Im Übrigen hätte es der Gesuchstellerin frei gestanden, das Revisionsgesuch zurückzuziehen.</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sinngemäss den Revisionsgrund von Art. 123 Abs. 2 Bst. a BGG (neue Tatsachen und Beweismittel) geltend und behauptet (implizit) die Rechtzeitigkeit des Revisionsbegehrens. Nachdem der erhobene Kostenvorschuss fristgerecht bezahlt wurde, ist demnach auf das im Übrigen frist- und formgerecht (vgl. Art. 47 VGG und Art. 67 Abs. 3 VwVG i.V.m. Art. 52 VwVG, Art. 124 Abs. 1 Bst. d BGG) eingereichte Revisionsgesuch einzutreten.</w:t>
      </w:r>
    </w:p>
    <w:p>
      <w:r>
        <w:rPr>
          <w:b/>
        </w:rPr>
        <w:t>E. 3</w:t>
      </w:r>
    </w:p>
    <w:p>
      <w:r>
        <w:t>Die Gesuchstellerin lässt in ihrer Eingabe vom 9. November 2010 vortragen, seit dem Erlass der Verfügung des BFM vom 1. September 2008 habe sich der rechtserhebliche Sachverhalt verändert. Die Gesuchstellerin sei nicht mehr in der Lage, die traumatische Erfahrung der Vergewaltigung zu verdrängen, was sich in Ängsten und Blockierungen äussere. In der Schweiz komme die Gesuchstellerin mit den traumatischen Erlebnissen deshalb zurecht, weil sie hier selten damit konfrontiert werde. Eine Verdrängung und Ausblendung der traumatischen Erfahrung wäre im Heimatland nicht mehr möglich, da die Gesuchstellerin Repressalien wegen der erlittenen Vergewaltigung befürchte. Die Furcht beziehe sich einerseits auf die Gefahr, dass sie von ihrer Familie verstossen würde, andererseits auf die Gefahr weiterer sexueller Übergriffe. Die Verschlechterung des psychischen Zustandes der Gesuchstellerin und ihr Entschluss, eine Therapie durchzuführen, seien vor dem Hintergrund ihrer Angst vor der Rückkehr nach Äthiopien zu sehen. In ihrem Falle handle es sich nicht bloss um temporäre, situativ bedingte Symptome eines an sich gesunden Asylsuchenden, welche nach der Rückkehr in das Heimatland allmählich wieder abklingen würden. Die Gesuchstellerin sei schon vor ihrer Einreise in die Schweiz traumatisiert gewesen, habe hier allerdings gute Bedingungen gefunden, um ihr Trauma verdrängen zu können. Gestützt auf einen Bericht der Schweizerischen Flüchtlingshilfe (SFH) müsse man daran zweifeln, dass die Gesuchstellerin in Äthiopien eine wesentliche medizinische Behandlung erhalten würde. Sie sei nämlich zum einen auf eine psychotherapeutische Behandlung zur Aufarbeitung der traumatischen Geschehnisse angewiesen, eine medikamentöse Behandlung - sofern überhaupt erhältlich - könnte eine Gesprächstherapie nicht ersetzen. Zum anderen wäre die Gesuchstellerin in Äthiopien mit Umständen konfrontiert, die eine Retraumatisierung zur Folge hätten und entsprechende Spätfolgen bewirken könnten. Der Wegweisungsvollzug nach Äthiopien sei demnach infolge einer ungenügenden medizinischen Versorgung als unzumutbar zu bezeichnen. Als weiteren humanitären Aspekt sei sodann zunächst die hohe Wahrscheinlichkeit zu beachten, dass die Familie die Gesuchstellerin wegen der Vergewaltigung verstossen und ihr jede Solidarität verweigern würde. Zwar habe die Gesuchstellerin ihre Familie nicht über die Vergewaltigung informiert, doch liesse sich diese Tatsache nicht auf Dauer verheimlichen. Vor einer Eheschliessung prüften nämlich Familienangehörige, ob der Hymen intakt sei. Der Schluss auf eine Vergewaltigung der Gesuchstellerin läge sehr nahe. Dass ein nicht mehr intakter Hymen auf vorehelichen Geschlechtsverkehr zurückzuführen wäre, erschiene der Familie der Gesuchstellerin als unwahrscheinlich und würde überdies ebenso wenig akzeptiert, zumal sie aus einer sehr konservativen und religiösen Familie stamme. Im Übrigen hätten zwischen der Gesuchstellerin und ihrer Familie bereits vor der Ausreise der Gesuchstellerin Spannungen aufgrund verschiedener Glaubensansichten bestanden. Hinzu komme, dass die Gesuchstellerin in Äthiopien wegen des nicht mehr intakten Hymens nicht mehr heiraten könnte. Die Verstossung durch die Familie entzöge ihr das soziale Beziehungsnetz wie auch finanzielle Hilfe, die ökonomische Sicherheit einer Ehe liege ausser Reichweite. Zudem habe sie auch keinen Beruf erlernt, den sie qualifiziert ausüben könnte. Demgegenüber habe sich die Gesuchstellerin während ihres bisherigen Aufenthaltes in der Schweiz in finanzieller und persönlicher Hinsicht völlige Eigenverantwortung erarbeitet. Schliesslich argumentiert die Gesuchstellerin, der Wegweisungsvollzug würde die völkerrechtlichen Verpflichtungen der Schweiz, Art. 8 der Konvention vom 4. November 1950 zum Schutze der Menschenrechte und Grundfreiheiten (EMRK, SR 0.101) (Anspruch auf Achtung des Privat- und Familienlebens) und Art. 12 EMRK (Recht auf Eheschliessung und Gründung einer Familie) verletzen. Beide genannten Artikel setzten zwar nach bisheriger Rechtsprechung ein Mindestmass an sozialer Konkretisierung voraus. Art. 8 EMRK schütze nur bestehende familiäre Bindungen. Art. 12 EMRK impliziere, dass zwei Personen existierten, welche die Ehe schliessen wollten. Vorliegend werde jedoch eine erweiterte Perspektive eingenommen und dafür plädiert, auch bloss potentielle Bindungen in den Schutzbereich miteinzubeziehen.</w:t>
      </w:r>
    </w:p>
    <w:p>
      <w:r>
        <w:rPr>
          <w:b/>
        </w:rPr>
        <w:t>E. 4.1</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Gründe, welche die Partei, die um Revision nachsucht, bereits im ordentlichen Beschwerdeverfahren hätte geltend machen können, gelten gemäss Art. 46 VGG nicht als Revisionsgründe (vgl. ferner sinngemäss Art. 125 BGG und den vor Inkrafttreten des VGG auf Revisionen anwendbare Art. 66 Abs. 3 VwVG). Damit übereinstimmend erwähnt Art. 123 Abs. 2 Bst. a BGG explizit die Voraussetzung, dass die nachträglich erfahrenen neuen erheblichen Tatsachen beziehungsweise die nachträglich aufgefundenen neuen entscheidenden Beweismittel im früheren Verfahren nicht beigebracht werden konnten.</w:t>
      </w:r>
    </w:p>
    <w:p>
      <w:r>
        <w:rPr>
          <w:b/>
        </w:rPr>
        <w:t>E. 4.3</w:t>
      </w:r>
    </w:p>
    <w:p>
      <w:r>
        <w:t>Sowohl die geltend gemachten gesundheitlichen Schwierigkeiten der Gesuchstellerin als auch die vorgetragenen Bedenken in Bezug auf eine Verletzung der EMRK im Falle des Wegweisungsvollzuges gehen zurück auf die (behauptete) Vergewaltigung der Gesuchstellerin, welche ihren Angaben zufolge im Verlauf ihrer Ausreise aus dem Heimatstaat - auf der Reise von B._______ nach C._______ - erfolgt sein soll (vgl. Akten BFM A14/18 S. 7 und S. 14). Entsprechend wird in der Eingabe der Gesuchstellerin vom 9. November 2010 ausgeführt, sie sei schon vor ihrer Einreise in die Schweiz traumatisiert gewesen (S. 5). Damit steht fest, dass die Gesuchstellerin ihre Argumentation im Grundsatz bereits im Rahmen ihres ersten Asylgesuches hätte vorbringen können, womit sich diese Argumente im Hinblick auf das Revisionsverfahren wie auch ein allfälliges Wiedererwägungsverfahren als von vornherein irrelevant erwiesen. Allerdings lässt die Gesuchstellerin einwenden, sie habe das Trauma aufgrund der in der Schweiz bestehenden guten Bedingungen verdrängen können, erst seit dem Erlass der Verfügung des BFM vom 1. September 2008 habe sich der rechtserhebliche Sachverhalt verändert. Diese Argumentation überzeugt jedoch aus verschiedenen Gründen nicht. Zunächst erstaunt, dass sich der psychische Zustand erst nach dem erstinstanzlichen Entscheid im zweiten Asylverfahren, mithin der abweisenden Verfügung des BFM vom 1. September 2008, verschlechtert haben soll. Dazu hätte vielmehr bereits der Nichteintretensentscheid des BFM vom 28. April 2008 oder der abweisende Beschwerdeentscheid des Bundesverwaltungsgerichts vom 20. Mai 2008 Anlass geboten. Bereits in den damaligen Entscheiden wurde die Zulässigkeit, Zumutbarkeit sowie Möglichkeit des Wegweisungsvollzugs geprüft und im Falle der Gesuchstellerin bejaht. Damit bestand für die Gesuchstellerin bereits im damaligen Zeitpunkt eine gewisse Wahrscheinlichkeit darüber, dass sie in ihr Heimatland wird zurückkehren müssen, und es scheint nicht nachvollziehbar, dass bei dieser Sachlage noch Raum für den behaupteten Verdrängungsprozess verblieben wäre. Es sind somit keine triftigen Gründe ersichtlich, die es der Gesuchstellerin verunmöglicht hätten, ihre Vorbringen nicht wenigstens im zweiten Asylverfahren vorzubringen. In Bezug auf den eingereichten ärztlichen Bericht zum Erstgespräch vom 20. September 2010 ist - wie bereits in der Zwischenverfügung vom 29. November 2010 festgehalten - darauf hinzuweisen, dass dieser als revisionsrechtlich unzulässig zu qualifizieren ist (vgl. Art. 123 Abs. 2 Bst. a letzter Halbsatz BGG). Selbst wenn man den Bericht indessen berücksichtigen wollte, vermöchte dies mangels Erheblichkeit nicht zu einem anderen Resultat zu führen. Zum einen handelt es sich dabei um den Bericht nach einem Erstgespräch, und nicht um einen solchen nach eingehender Behandlung, zum andern wird im Bericht ausdrücklich festgehalten, eine eigentliche Posttraumatische Belastungsstörung bestehe nicht. Hinzu kommt, dass die Gesuchstellerin eine weitergehende Therapie nicht belegt hat. Schliesslich ist nach dem Gesagten auch nicht ersichtlich, inwiefern die von der Gesuchstellerin erwähnten "humanitären Beurteilungselemente" nicht schon in den früheren Verfahren hätten eingebracht werden können. Soweit die Gesuchstellerin Benachteiligungen aufgrund eines nicht mehr intakten Hymens zufolge einer Vergewaltigung befürchtet, bleibt immerhin anzumerken, dass jeder Beleg für eine asylrelevante Defloration der Gesuchstellerin fehlt. Zudem hätte die Gesuchstellerin auch die zwischen ihr und ihrer Familie angeblich bestehenden Spannungen bereits früher vorbringen können. Dies gilt ebenso für die allgemeine Situation von jungen, alleinstehenden Frauen in Äthiopien. Damit ist festzustellen, dass es der Gesuchstellerin bei Anwendung der zumutbaren Sorgfalt und in Beachtung der ihr obliegenden Mitwirkungspflicht nach Art. 8 AsylG möglich und zumutbar gewesen wäre, die Folgen der geltend gemachten Vergewaltigung bereits in den vorangegangenen Verfahren offen zu legen (vgl. wiederum Art. 123 Abs. 2 Bst. a BGG), zumal die behauptete Vergewaltigung damals schon aktenkundig war. In diesem Lichte besehen ist sowohl den gesundheitlichen Problemen wie auch den weiteren "humanitären Beurteilungselementen" die revisionsrechtliche Neuheit abzusprechen.</w:t>
      </w:r>
    </w:p>
    <w:p>
      <w:r>
        <w:rPr>
          <w:b/>
        </w:rPr>
        <w:t>E. 5</w:t>
      </w:r>
    </w:p>
    <w:p>
      <w:r>
        <w:t>Die Gesuchstellerin beruft sich schliesslich auf völkerrechtliche Verpflichtungen der Schweiz, insbesondere auf Art. 8 Abs. 1 und Art. 12 EMRK.</w:t>
      </w:r>
    </w:p>
    <w:p>
      <w:r>
        <w:rPr>
          <w:b/>
        </w:rPr>
        <w:t>E. 5.1</w:t>
      </w:r>
    </w:p>
    <w:p>
      <w:r>
        <w:t>Revisionsweise Vorbringen, die verspätet sind, können dennoch zur Revision eines rechtskräftigen Urteils führen, wenn aufgrund dieser Vorbringen offensichtlich wird, dass einem Gesuchsteller oder einer Gesuchstellerin Verfolgung oder menschenrechtswidrige Behandlung droht und damit ein völkerrechtliches Wegweisungshindernis besteht (dazu Entscheidungen und Mitteilungen der [vormaligen] Schweizerischen Asylrekurskommission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Auer/Markus Müller/Benjamin Schindler [Hrsg.], Kommentar zum VwVG, Zürich/St. Gallen 2008, Art. 66, N 26).</w:t>
      </w:r>
    </w:p>
    <w:p>
      <w:r>
        <w:rPr>
          <w:b/>
        </w:rPr>
        <w:t>E. 5.2</w:t>
      </w:r>
    </w:p>
    <w:p>
      <w:r>
        <w:t>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5.3</w:t>
      </w:r>
    </w:p>
    <w:p>
      <w:r>
        <w:t>Die diesbezügliche Argumentation der Gesuchstellerin überzeugt - selbst wenn die behauptete Vergewaltigung als tatsächlich erfolgt betrachtet würde - nicht. Wie die Rechtsvertreterin selber ausführt, setzen die angerufenen Bestimmungen der EMRK ein Mindestmass an sozialer Konkretisierung voraus. Im Lichte der vorstehend dargelegten Grundsätze besteht insbesondere im Revisionsverfahren keinerlei Anlass, eine "erweiterte Perspektive" einzunehmen und lediglich potentielle Bindungen in den Schutzbereich miteinzubeziehen. Der Gesuchstellerin gelingt es nicht, eine beachtliche Wahrscheinlichkeit einer drohenden aktuellen und ernsthaften Gefahr einer Völkerrechtsverletzung im Sinne einer Verletzung des Refoulement-Verbotes darzutun.</w:t>
      </w:r>
    </w:p>
    <w:p>
      <w:r>
        <w:rPr>
          <w:b/>
        </w:rPr>
        <w:t>E. 6</w:t>
      </w:r>
    </w:p>
    <w:p>
      <w:r>
        <w:t>Zusammenfassend ist festzuhalten, dass keine revisionsrechtlich relevanten Gründe dargetan sind. Das Gesuch um Revision des Urteils des Bundesverwaltungsgerichts vom 16. Juni 2010 ist demzufolge abzuweisen.</w:t>
      </w:r>
    </w:p>
    <w:p>
      <w:r>
        <w:rPr>
          <w:b/>
        </w:rPr>
        <w:t>E. 7</w:t>
      </w:r>
    </w:p>
    <w:p>
      <w:r>
        <w:t>Das von der Gesuchstellerin bei Einreichung des Wiedererwägungs-/Revisionsgesuches gestellte Gesuch um unentgeltliche Prozessführung wurde mit Zwischenverfügung vom 29. November 2010 abgewiesen. In der Eingabe vom 13. Dezember 2010 ersuchte die Gesuchstellerin erneut um Gewährung der unentgeltlichen Prozessführung (sowie um Beigabe einer unentgeltlichen Rechtsvertreterin). Da die Gesuchstellerin im Revisionsverfahren den Kostenvorschuss bereits geleistet hatte und diese (erneuten) Gesuche vom 13. Dezember 2010 unbegründet blieben, ist davon auszugehen, dass sie sich einzig auf ein allfälliges erneutes Wiedererwägungsverfahren bezogen. Damit erübrigen sich diesbezüglich Weiterungen (vgl. vorstehend E. 1.5).</w:t>
      </w:r>
    </w:p>
    <w:p>
      <w:r>
        <w:rPr>
          <w:b/>
        </w:rPr>
        <w:t>E. 8</w:t>
      </w:r>
    </w:p>
    <w:p>
      <w:r>
        <w:t>Angesichts des Verfahrensausganges sind die Kosten von Fr. 1'200.- der Gesuchstellerin aufzuerlegen (Art. 37 VGG i. V. m. Art. 63 Abs. 1, 5 und Art. 68 Abs. 2 VwVG; Art. 1 - 3 des Reglements vom 21. Februar 2008 über die Kosten und Entschädigungen vor dem Bundesverwaltungsgericht [VGKE, SR 173.320.2]) und mit dem am 6. Dezember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