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D-816/2009 vom 11. März 2011</w:t>
      </w:r>
    </w:p>
    <w:p>
      <w:r>
        <w:t>Bundesverwaltungsgericht, 2011-03-11, DE</w:t>
      </w:r>
    </w:p>
    <w:p>
      <w:r>
        <w:rPr>
          <w:b/>
        </w:rPr>
        <w:t xml:space="preserve">Quelle: </w:t>
      </w:r>
      <w:r>
        <w:t>https://mcp.opencaselaw.ch/entscheid/bvger_D-816_2009</w:t>
      </w:r>
    </w:p>
    <w:p>
      <w:r>
        <w:t>FR: TAF D-816/2009 du 11 mars 2011</w:t>
      </w:r>
    </w:p>
    <w:p>
      <w:r>
        <w:t>IT: TAF D-816/2009 del 11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praxisgemäss aus prozessökonomischen Gründen verzichtet werden, da - mit Ausnahme der angefochtenen Verfügung - die Zwischenverfügungen und Eingaben des vorinstanzlichen Verfahrens ebenfalls in englischer Sprache gehalten sind und die Rechtsmitteleingabe verständlich ist, so dass ohne weiteres darüber befunden werden kann. Der vorliegende Entscheid ergeht indessen in deutscher Sprache (Art. 33a Abs. 2 VwVG i.V.m. Art. 6 AsylG).</w:t>
      </w:r>
    </w:p>
    <w:p>
      <w:r>
        <w:rPr>
          <w:b/>
        </w:rPr>
        <w:t>E. 1.3</w:t>
      </w:r>
    </w:p>
    <w:p>
      <w:r>
        <w:t>Die Beschwerde ist demnach - mit Ausnahme des genannten, indessen als nicht wesentlich erachteten Mangels - frist- und formgerecht eingereicht (Art. 108 Abs. 1 AsylG, Art. 105 AsylG i.V.m.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 3.3.1 Gemäss Art. 19 Abs. 1 AsylG kann ein Asylgesuch im Ausland bei einer schweizerischen Vertretung gestellt werden, welche es mit einem Bericht an das Bundesamt überweist (Art. 20 Abs. 1 AsylG). 3.2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3.3 Das BFM kann ein im Ausland gestelltes Asylgesuch ablehnen, wenn die asylsuchende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4.4.1 Die Beschwerdeführerin machte im Wesentlichen geltend, nachdem im Juli 2007 in der Nähe ihres Dorfes eine Mine explodiert sei, habe sie die Armee zu Hause aufgesucht und über diesen Vorfall befragt. Einen Monat später sei ihr Ehemann auf dem Weg zur Arbeit von Mitgliedern der G._______ erschossen worden. Aus Angst vor allfälligen Übergriffen sei sie zu ihrer Schwester gezogen, wo sie später durch Verwandte erfahren habe, dass sie von der Armee gesucht werde. Sie habe mehrere anonyme Drohanrufe erhalten, weshalb sie nach Colombo gereist sei, wo sie von der Polizei kontrolliert und auf den Posten mitgenommen, jedoch am gleichen Abend wieder freigelassen worden sei. Seitdem lebe sie bei Verwandten in Colombo. Im Weiteren sei ihr Schwager Ende September 2008 - um ihn über ihren Aufenthalt auszufragen - entführt und zwei Wochen festgehalten worden. 4.2 Das BFM stellte in der angefochtenen Verfügung fest, dass es sich bei den von der Beschwerdeführerin geltend gemachten Nachteilen, welche als Folge der Explosion der Mine und des Todes ihres Ehemannes einzustufen seien, um lokal oder regional beschränkte Verfolgungsmassnahmen handle. Da sich die Beschwerdeführerin seit Februar 2008 in Colombo aufhalte und seither nicht mehr behelligt worden sei, habe sie sich erfolgreich den Behelligungen entziehen können, weshalb sie nicht mehr auf den Schutz der Schweiz angewiesen sei. 4.3. Nach Praxis des Bundesverwaltungsgerichts gilt, dass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EMARK 2006 Nr. 18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welchen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4.4 Der Vorinstanz ist in ihren Erwägungen hinsichtlich - fehlender - Schutz­bedürftigkeit der Beschwerdeführerin zu folgen. An dieser Einschät­zung vermögen die Entgegnungen der Beschwerdeführerin nichts zu ändern. Die Beschwerdeführerin gab an, sie könne in Colombo jederzeit von den Mitgliedern der G._______ gefunden und aufgesucht werden und daher nicht in Colombo bleiben. Aufgrund der erfolgten Drohungen könne sie aber auch nicht nach Jaffna zurückreisen, weshalb sie auf den Schutz der Schweiz angewiesen sei. Den Ausführungen der Vorinstanz folgend, kann indessen festgehalten werden, dass sich die Beschwerdeführerin durch den Wegzug nach Colombo allfälligen Verfolgungen erfolgreich entziehen konnte. So lebt sie den Akten zufolge seit nunmehr bald drei Jahren in Colombo und ist seither seitens der genannten Gruppierung nicht mehr behelligt worden. Die Vorinstanz hat mangels gegenteiliger Anhaltspunkte zutreffend festgestellt, dass die Beschwerdeführerin erfolgreich eine innerstaatliche Fluchtalternative ergriffen habe, weshalb sie nicht mehr auf den Schutz der Schweiz angewiesen sei. Im Weiteren ist mit der Vorinstanz festzustellen, dass es sich beim Vorgehen der Polizei, am 16. Februar 2008 die Beschwerdeführerin kontrolliert und zur Registrierung auf den Posten mitgenommen zu haben, vor dem Hintergrund der damaligen angespannten Sicherheitslage in Sri Lanka grundsätzlich um eine legitime Sicherheitsmassnahme handelt, fehlen doch Anhaltspunkte dafür, dass die Beschwerdeführerin während der Kontrolle nicht korrekt behandelt worden sei. Im Weiteren ist zu berücksichtigen, dass die Beschwerdeführerin seither nicht mehr von der Polizei aufgesucht wurde, weshalb nicht von einem künftigen Verfolgungsinteresse des srilankischen Staates an der Beschwerdeführerin auszugehen ist. 4.5 Somit ist es der Beschwerdeführerin nicht gelungen, eine aktuelle Gefährdung im Sinne von Art. 3 AsylG aufzuzeigen, welche die Bewilligung der Einreise in die Schweiz rechtfertigen würde. Die Schutzbedürftigkeit der Beschwerdeführerin und deren Kinder ist nicht gegeben. Im Übrigen ist auch eine Beziehungsnähe der Beschwerdeführenden zur Schweiz zu verneinen (Art. 52 Abs. 2 AsylG). Das BFM hat den Beschwerdeführenden zu Recht die Einreise in die Schweiz verweigert und deren Asylgesuche abgelehnt. Aus den obenstehenden Erwägungen ergibt sich, dass die Vorinstanz die Vorbringen der Beschwerdeführenden zutreffend als nicht asylrelevant erachtet und deren Asylgesuche zu Recht abgelehnt hat. 5.Aus diesen Erwägungen ergibt sich, dass die angefochtene Verfügung Bundesrecht nicht verletzt, den rechtserheblichen Sachverhalt richtig und vollständig feststellt und angemessen ist (Art. 106 Abs. 1 AsylG). Die Beschwerde ist daher abzuweisen. 6.Bei diesem Ausgang des Verfahrens wären dessen Kosten grundsätzlich den Beschwerdeführenden aufzuerlegen (Art. 63 Abs. 1 VwVG). Aus verwaltungsökonomischen Gründen sowie in Anwendung von Art. 63 Abs. 1 in finde VwVG und Art. 2 und 6 Bst. b des Reglements vom 21. Februar 2008 über die Kosten und Entschädigungen vor dem Bundesverwaltungsgericht (VGKE, SR 173.320.2) ist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