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D-816/2008 vom 4. Februar 2011</w:t>
      </w:r>
    </w:p>
    <w:p>
      <w:r>
        <w:t>Bundesverwaltungsgericht, 2011-02-04, DE</w:t>
      </w:r>
    </w:p>
    <w:p>
      <w:r>
        <w:rPr>
          <w:b/>
        </w:rPr>
        <w:t xml:space="preserve">Quelle: </w:t>
      </w:r>
      <w:r>
        <w:t>https://mcp.opencaselaw.ch/entscheid/bvger_D-816_2008</w:t>
      </w:r>
    </w:p>
    <w:p>
      <w:r>
        <w:t>FR: TAF D-816/2008 du 4 février 2011</w:t>
      </w:r>
    </w:p>
    <w:p>
      <w:r>
        <w:t>IT: TAF D-816/2008 del 4 febbraio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112 Abs. 1 des Bundesgesetzes vom 16. Dezember 2005 über die Ausländerinnen und Ausländer (AuG, SR 142.20);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48 Abs. 1, Art. 50 VwVG und Art. 52 VwVG). Auf die Beschwerde ist einzutreten.</w:t>
      </w:r>
    </w:p>
    <w:p>
      <w:r>
        <w:rPr>
          <w:b/>
        </w:rPr>
        <w:t>E. 1.3</w:t>
      </w:r>
    </w:p>
    <w:p>
      <w:r>
        <w:t>Mit Beschwerde können die Verletzung von Bundesrecht, die unrichtige oder unvollständige Feststellung des rechtserheblichen Sachverhalts und die Unangemessenheit gerügt werden (Art. 49 VwVG).</w:t>
      </w:r>
    </w:p>
    <w:p>
      <w:r>
        <w:rPr>
          <w:b/>
        </w:rPr>
        <w:t>E. 2.1</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und möglich ist (Art. 83 Abs. 2 und 4 AuG), sich rechtmässig in ihren Heimat-, in den Herkunftsstaat oder in einen Drittstaat zu begeben.</w:t>
      </w:r>
    </w:p>
    <w:p>
      <w:r>
        <w:rPr>
          <w:b/>
        </w:rPr>
        <w:t>E. 2.2</w:t>
      </w:r>
    </w:p>
    <w:p>
      <w:r>
        <w:t>Bezüglich der Geltendmachung von Wegweisungsvollzugshinder­nis­sen gilt der gleiche Beweisstandard wie bei der Flüchtlingseigen­schaft, das heisst, sie sind zu beweisen, wenn der strikte Beweis möglich ist, und andernfalls wenigstens glaubhaft zu machen (vgl. dazu Walter Stöckli, Asyl, in: Uebersax/Rudin/Hugi Yar/Geiser, Ausländerrecht, 2. Aufl., Basel 2009, Rz. 11.148).</w:t>
      </w:r>
    </w:p>
    <w:p>
      <w:r>
        <w:rPr>
          <w:b/>
        </w:rPr>
        <w:t>E. 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indessen nur Personen, welche die Flüchtlingseigenschaft im Sinne von Art. 3 AsylG respektive Art. 1 A FK erfüllen (vgl. Mario Gattiker, Das Asyl- und Wegweisungsverfahren, Bern 1999, S. 89).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vormaligen Schweizerischen Asylrekurskommission [EMARK] 2001 Nr. 16 S. 122, mit weiteren Hin­weisen; EGMR, Bensaid gegen Grossbritannien, Urteil vom 6. Februar 2001, Recueil des arrêts et décisions 2001-I, S. 327 ff.; EGMR [Grosse Kammer], Saadi gegen Italien, Urteil vom 28. Februar 2008, Beschwerde Nr. 37201/06, §§ 124-127, mit weiteren Hinweisen).</w:t>
      </w:r>
    </w:p>
    <w:p>
      <w:r>
        <w:rPr>
          <w:b/>
        </w:rPr>
        <w:t>E. 3.2</w:t>
      </w:r>
    </w:p>
    <w:p>
      <w:r>
        <w:t>Vorab ist festzuhalten, dass die allgemeine Sicherheits- und Menschenrechtslage im kurdischen Nordirak den Wegweisungsvollzug zum heutigen Zeitpunkt nicht als unzulässig erscheinen lässt (vgl. BVGE 2008/4).</w:t>
      </w:r>
    </w:p>
    <w:p>
      <w:r>
        <w:rPr>
          <w:b/>
        </w:rPr>
        <w:t>E. 3.3</w:t>
      </w:r>
    </w:p>
    <w:p>
      <w:r>
        <w:t>Da sodann der Nichteintretensentscheid des BFM vom 30. März 2007 in Rechtskraft erwachsen ist (vgl. Sachverhalt Bst. B), kann das in Art. 5 AsylG verankerte Prinzip des flüchtlingsrecht­lichen Non-Refoule­ments im vorliegenden Verfahren keine Anwendung finden (vgl. dies­be­züglich auch Art. 32 Abs. 3 Bst. b AsylG).</w:t>
      </w:r>
    </w:p>
    <w:p>
      <w:r>
        <w:rPr>
          <w:b/>
        </w:rPr>
        <w:t>E. 3.4</w:t>
      </w:r>
    </w:p>
    <w:p>
      <w:r>
        <w:t>Aufgrund der Aktenlage kann schliesslich ausgeschlossen werden, dass dem Beschwerdeführer bei einer Rückkehr in den Heimatstaat eine konkrete Gefahr im Sinne von Art. 3 EMRK droht. Sowohl in seiner Stellungnahme an das BFM vom 10. Oktober 2007 (vgl. Sachverhalt Bst. D) als auch in der Rechtsmittelschrift vom 10. April 2008 (vgl. Sachverhalt Bst. F) wiederholt der Beschwerdeführer in diesem Zusammenhang lediglich seine im ursprünglichen Asylverfahren geltend gemachten Befürchtungen, bei einer Rückkehr in den Heimatstaat wie sein Bruder von "den Islamisten" umgebracht zu werden. Dieses unsubstanziierte und nicht weiter belegte Vorbringen vermag offensichtlich keine konkrete Gefahr im Sinne der oben zitierten völkerrechtlichen Rechtsprechung zu begründen.</w:t>
      </w:r>
    </w:p>
    <w:p>
      <w:r>
        <w:rPr>
          <w:b/>
        </w:rPr>
        <w:t>E. 3.5</w:t>
      </w:r>
    </w:p>
    <w:p>
      <w:r>
        <w:t>Zusammenfassend ist festzustellen, dass der Wegweisungsvollzug sowohl im Sinne der asyl- als auch der völkerrechtlichen Bestimmungen als zulässig zu bezeichnen ist.</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Das Bundesverwaltungsgericht ist im Grundsatzurteil vom 14. März 2008 (BVGE 2008/5) aufgrund einer umfassenden Beurteilung der Si­tua­tion in den nordirakischen Provinzen Dohuk, Suleymaniya und Erbil - ent­gegen der in der Beschwerde vertretenen Auffassung -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w:t>
      </w:r>
    </w:p>
    <w:p>
      <w:r>
        <w:rPr>
          <w:b/>
        </w:rPr>
        <w:t>E. 4.3</w:t>
      </w:r>
    </w:p>
    <w:p>
      <w:r>
        <w:t>Der heute bald 25-jährige und - soweit aktenkundig - gesunde und allein­stehende Beschwer­deführer stammt aus X._______ in der Nordprovinz Dohuk, wo er bis zu seiner Ausreise wohnhaft war. Die Feststellung der Vorinstanz, der Beschwerdeführer verfüge in seinem Herkunftsort über Familienangehörige (Eltern, Geschwister und Verwandte; vgl. auch Akten BFM A1 S. 3), wird von diesem im Rahmen des Beschwerdeverfahrens nicht bestritten. Aus den Akten ergibt sich sodann, dass der Beschwerdeführer während seines bisherigen Aufenthalts in der Schweiz respektive seit Mitte Februar 2008 erwerbstätig ist, wobei er sich im Gast- und Baugewerbe Berufserfahrungen aneignen konnte, welche ihm bei einer Rückkehr in den Heimatstaat von Nutzen sein werden.</w:t>
      </w:r>
    </w:p>
    <w:p>
      <w:r>
        <w:rPr>
          <w:b/>
        </w:rPr>
        <w:t>E. 4.4</w:t>
      </w:r>
    </w:p>
    <w:p>
      <w:r>
        <w:t>Gestützt auf diese Erwägungen ist zusammenfassend der Schluss zu ziehen, dass der Beschwerdeführer bei einer Rückkehr in die Provinz Suleymaniya keiner konkreten Gefährdung im Sinne von Art. 83 Abs. 4 AuG aus­gesetzt sein wird. An dieser Einschätzung vermögen die in der Beschwer­deschrift erwähnten Zwischenfälle im Nordirak nichts zu ändern. Der Vollzug der Wegweisung ist daher - überein­stimmend mit dem BFM - als zumutbar zu bezeichnen.</w:t>
      </w:r>
    </w:p>
    <w:p>
      <w:r>
        <w:rPr>
          <w:b/>
        </w:rPr>
        <w:t>E. 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Zusammenfassend ist festzustellen, dass das BFM die mit Verfü­gung vom 30. März 2007 angeordnete vorläufige Aufnahme des Be­schwerde­füh­rers zu Recht aufgehoben und den Wegweisungsvollzug verfügt hat.</w:t>
      </w:r>
    </w:p>
    <w:p>
      <w:r>
        <w:rPr>
          <w:b/>
        </w:rPr>
        <w:t>E. 7</w:t>
      </w:r>
    </w:p>
    <w:p>
      <w:r>
        <w:t>Aus diesen Erwägungen ergibt sich, dass die angefochtene Verfügung Bun­desrecht nicht verletzt, den rechtserheblichen Sachverhalt richtig und voll­ständig feststellt und angemessen ist (Art. 49 VwVG). Die Be­schwer­de ist daher abzuweisen.</w:t>
      </w:r>
    </w:p>
    <w:p>
      <w:r>
        <w:rPr>
          <w:b/>
        </w:rPr>
        <w:t>E. 8</w:t>
      </w:r>
    </w:p>
    <w:p>
      <w:r>
        <w:t>Aus den Akten ergibt sich, dass der alleinstehende Beschwerdeführer seit Feb­ruar 2008 praktisch ununterbrochen einer Erwerbstätigkeit nachgegan­gen ist respektive aktuell nachgeht. Aufgrund dieser Sachlage ist davon auszugehen, dass er im heutigen Zeitpunkt nicht (mehr) als bedürftig im Sinne von Art. 65 Abs. 1 VwVG zu bezeichnen ist. Das Gesuch um Ge­währung der unentgeltlichen Rechtspflege ist daher abzuweisen, die Kosten des Verfahrens sind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