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D-8167/2007 vom 31. März 2010</w:t>
      </w:r>
    </w:p>
    <w:p>
      <w:r>
        <w:t>Bundesverwaltungsgericht, 2010-03-31, DE</w:t>
      </w:r>
    </w:p>
    <w:p>
      <w:r>
        <w:rPr>
          <w:b/>
        </w:rPr>
        <w:t xml:space="preserve">Quelle: </w:t>
      </w:r>
      <w:r>
        <w:t>https://mcp.opencaselaw.ch/entscheid/bvger_D-8167_2007</w:t>
      </w:r>
    </w:p>
    <w:p>
      <w:r>
        <w:t>FR: TAF D-8167/2007 du 31 mars 2010</w:t>
      </w:r>
    </w:p>
    <w:p>
      <w:r>
        <w:t>IT: TAF D-8167/2007 del 31 marzo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Am 1. Januar 2008 trat das Bundesgesetz vom 16. Dezember 2005 über die Ausländerinnen und Ausländer (AuG, SR 142.20) in Kraft und gleichzeitig wurde das Bundesgesetz vom 26. März 1931 über Aufenthalt und Niederlassung der Ausländer (aANAG, BS 1 121) aufgehoben. Gemäss Art. 126a Abs. 4 AuG gilt - unter Vorbehalt der Absätze 5 bis 7 - für Personen, die im Zeitpunkt des Inkrafttretens der am 16. Dezember 2005 beschlossenen Änderung des Asylgesetzes sowie des AuG vorläufig aufgenommen waren, neues Recht. Der Beschwerdeführer wurde vom BFM mit Verfügung vom 8. November 2006 gestützt auf Art. 44 Abs. 2 AsylG i.V.m. Art. 14a Abs. 4 aANAG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4.1</w:t>
      </w:r>
    </w:p>
    <w:p>
      <w:r>
        <w:t>Das BFM begründete die Aufhebung der vorläufigen Aufnahme damit, der Vollzug der Wegweisung des Beschwerdeführers, dessen Asylgesuch abgewiesen und dessen Flüchtlingseigenschaft rechtskräftig verneint worden sei, verstosse nicht gegen das Refoulement-Verbot. Den Akten seien keine Anhaltspunkte dafür zu entnehmen, dass dem Beschwerdeführer in seinem Heimatstaat mit beachtlicher Wahrscheinlichkeit eine durch Art. 3 der Konvention vom 4. November 1950 zum Schutze der Menschenrechte und Grundfreiheiten (EMRK, SR 0.101) verbotene Strafe oder Behandlung drohe. In den drei von der kurdischen Regionalregierung kontrollierten Provinzen Dohuk, Erbil und Suleymaniya herrsche sodann aufgrund der Sicherheits- und Menschenrechtslage keine Situation allgemeiner Gewalt, weshalb der Wegweisungsvollzug grundsätzlich zumutbar sei. Dies gelte insbesondere für aus dieser Region stammende Männer, welche sich alleine in der Schweiz aufhielten und in einer dieser drei Provinzen über ein tragfähiges Beziehungsnetz verfügten. Bezogen auf den Beschwerdeführer führte das Bundesamt schliesslich aus, die von ihm in der Stellungnahme vom 20. September 2007 geltend gemachte Bedrohung seitens der Angehörigen eines Tötungsopfers sei bereits im Rahmen des Asylverfahrens geprüft worden. Die Vorbringen seien insgesamt als unglaubhaft erachtet worden, weshalb sie nicht mehr zu berücksichtigen seien. Ferner sei der Beschwerdeführer im Alter von 19 Jahren in die Schweiz eingereist und habe daher den weitaus grössten Teil seines Lebens in der Provinz Suleymaniya verbracht, weshalb er mit der dortigen Sprache, Kultur, Lebens- und Arbeitsweise bestens vertraut sei. Zudem habe er bis zu seiner Ausreise im Geschäft seiner Eltern mitgearbeitet. Aus den Akten gehe überdies nicht hervor, dass der Beschwerdeführer irgendwelche gesundheitlichen Probleme hätte. Somit sei davon auszugehen, dass er nach seiner Rückkehr in der Lage sei, die Sicherung seiner Existenz selbständig an die Hand zu nehmen. Ausserdem verfüge er mit seiner in der Provinz Suleymaniya wohnhaften Familie über ein soziales Beziehungsnetz, welches ihm in der Anfangsphase unterstützend zur Seite stehen könne. Im Übrigen sei auf das Rückkehrhilfeprogramm "Irak" des BFM zu verweisen, welches ihm die Reintegration im Heimatland zusätzlich erleichtern werde.</w:t>
      </w:r>
    </w:p>
    <w:p>
      <w:r>
        <w:rPr>
          <w:b/>
        </w:rPr>
        <w:t>E. 4.2</w:t>
      </w:r>
    </w:p>
    <w:p>
      <w:r>
        <w:t>Der Beschwerdeführer hält den vorinstanzlichen Erwägungen in seiner Beschwerdeschrift im Wesentlichen entgegen, seine Situation habe sich noch nicht verbessert. Die Familie, welche sich an seiner Familie rächen wolle, lasse sich auf keine andere Lösung der Situation ein. Erschwerend komme dazu, dass Angehörige dieser Familie in höheren politischen Positionen vertreten seien, weshalb sie durch die staatlichen Organe geschützt würden. Zudem machte der Beschwerdeführer - unter Hinweis auf Publikationen der Schweizerischen Flüchtlingshilfe (SFH) sowie von UNHCR - unter anderem geltend, dass es in den Provinzen Erbil, Dohuk und Suleymaniya zwar keine systematische Terrorgewalt oder offene Gewalt gegen Angehörige ethnischer oder religiöser Gruppen gebe, die Sicherheitslage aber dennoch wegen verschiedenen Faktoren mit hohem Eskalationspotential weiterhin unvorhersehbar bleibe. In den letzten drei Jahren habe es in den drei kurdischen Provinzen diverse Anschläge gegeben, wobei sich diese fast alle gegen Hauptquartiere der politischen Parteien sowie gegen militärische und polizeiliche Kontrollstützpunkte und Patrouillen gerichtet hätten. Zudem sei die Situation im Grenzgebiet Nordirak/Türkei sehr angespannt. Aus diesen Gründen sei eine Aufhebung der vorläufigen Aufnahme nicht zulässig und die Wegweisung in den Nordirak nicht zumutbar.</w:t>
      </w:r>
    </w:p>
    <w:p>
      <w:r>
        <w:rPr>
          <w:b/>
        </w:rPr>
        <w:t>E. 5.1.1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Uebersax/Rudin/Yar/Geiser [Hrsg.], Ausländerrecht, 2. Aufl., Basel 2009 Rz. 11.67, S. 546 f.).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5.1.2</w:t>
      </w:r>
    </w:p>
    <w:p>
      <w:r>
        <w:t>Die Vorinstanz wies in ihrer angefochtenen Verfügung zutreffend darauf hin, dass der Grundsatz der Nichtrückschiebung nur Personen schützt, die die Flüchtlingseigenschaft erfüllen. Da das Bundesamt mit diesbezüglich in Rechtskraft erwachsener Verfügung vom 8. November 2006 rechtskräftig festgestellt hat, dass der Beschwerdeführer die Flüchtlingseigenschaft nicht erfüllt, steht das in Art. 5 AsylG verankerte Prinzip des flüchtlingsrechtlichen Non-Refoulements dem Vollzug der Wegweisung nicht entgegen. Weder aus den Aussagen des Beschwerdeführers noch aus den Akten ergeben sich Anhaltspunkte dafür, dass er für den Fall einer Ausschaffung in den Nordirak dort mit beachtlicher Wahrscheinlichkeit einer nach Art. 3 EMRK oder Art. 1 FoK verbotenen Strafe oder Behandlung ausgesetzt wäre. Der Beschwerdeführer macht zwar in der Beschwerdeschrift geltend, er müsse bei einer Rückkehr in den Nordirak wegen einer langjährigen Familienstreitigkeit um Land damit rechnen, von Mitgliedern einer anderen Familie getötet zu werden, die teilweise in höheren politischen Positionen vertreten seien. In der Verfügung der Vorinstanz vom 8. November 2006 wurde jedoch rechtskräftig festgestellt, dass die behauptete Verfolgungssituation unglaubhaft ist, weshalb der nun in der Rechtsmittelschrift erneut geltend gemachte Sachverhalt nicht zu hören ist. An dieser Einschätzung vermögen auch die vom Beschwerdeführer eingereichten Bestätigungsschreiben nichts zu ändern. Einerseits liegt das PUK-Schreiben vom 1. Juli 2004 lediglich in Kopie vor, weshalb schon deshalb der Beweiswert des Dokuments als gering einzustufen ist, andererseits nennt das im Original vorliegende Bestätigungsschreiben der Gemeinde I._______ keine konkreten vom Beschwerdeführer in den Befragungen vorgebrachten Ereignisse, sondern spricht lediglich in genereller Art und Weise von Auseinandersetzungen.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 allgemeine Sicherheits- und Menschenrechtslage im kurdischen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5.2.2</w:t>
      </w:r>
    </w:p>
    <w:p>
      <w:r>
        <w:t>Das Bundesverwaltungsgericht ist im Frühjahr 2008 aufgrund einer umfassenden Beurteilung der Situation in den nordirakischen Provinzen Dohuk, Suleymaniya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a.a.O. E. 7.5 und insbesondere E. 7.5.8 S. 65 ff.). An dieser Lageeinschätzung vermögen die Hinweise auf Publikationen verschiedener Organisationen und Zeitungsberichte in der Beschwer-de und in der Stellungnahme vom 20. September 2007 nichts zu ändern. Die im erwähnten Urteil vorgenommene Lageeinschätzung basiert auf einer grossen Zahl von Berichten verschiedener Organisationen, darunter namentlich auch der SFH und des UNHCR (vgl. die Quellenangabe in a.a.O.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w:t>
      </w:r>
    </w:p>
    <w:p>
      <w:r>
        <w:rPr>
          <w:b/>
        </w:rPr>
        <w:t>E. 5.2.3</w:t>
      </w:r>
    </w:p>
    <w:p>
      <w:r>
        <w:t>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keinerlei konkrete Anhaltspunkte, die darauf schliessen liessen, der alleinstehende, heute vierundzwanzigjährige Beschwerdeführer gerate im Falle der Rückkehr in die nordirakische Provinz Suleymaniya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zweiten Asylverfahrens zu Protokoll gegebenen Ausführungen hat er seit seiner Geburt bis zur Ausreise im September 2005 in der Provinz Suleymaniya gelebt und dort ein eigenes Geschäft geführt (vgl. act. B 8/12, S. 8 f.). Ergänzend ist darauf hinzuweisen, dass allfällige wirtschaftliche Schwierigkeiten nach der weiterhin gültigen Rechtsprechung der ARK keine existenzbedrohende Situation darstellen, welche den Vollzug der Wegweisung in den Heimatstaat als unzumutbar erscheinen lassen (EMARK 2003 Nr. 24 E. 5.e S. 159). Ferner leben gemäss Angaben des Beschwerdeführers im Rahmen des zweiten Asylverfahrens seine Eltern und seine sechs Geschwister in I._______ (act. B 1/9, S. 3), womit er dort über ein verwandtschaftliches Beziehungsnetz verfügt. In der Beschwerde wird den diesbezüglichen, als zutreffend zu bezeichnenden Erwägungen der Vorinstanz (siehe oben E. 4.1) nichts stichhaltiges entgegengesetzt.</w:t>
      </w:r>
    </w:p>
    <w:p>
      <w:r>
        <w:rPr>
          <w:b/>
        </w:rPr>
        <w:t>E. 5.2.4</w:t>
      </w:r>
    </w:p>
    <w:p>
      <w:r>
        <w:t>Gestützt auf die vorstehenden Erwägungen ist der Vollzug der Wegweisung sowohl vor dem Hintergrund der allgemeinen Lage im Nordirak als auch in individueller Hinsicht als zumutbar zu erachten.</w:t>
      </w:r>
    </w:p>
    <w:p>
      <w:r>
        <w:rPr>
          <w:b/>
        </w:rPr>
        <w:t>E. 5.3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5.4</w:t>
      </w:r>
    </w:p>
    <w:p>
      <w:r>
        <w:t>Zusammenfassend ist festzustellen, dass das BFM die mit Verfügung vom 8. November 2006 angeordnete vorläufige Aufnahme des Beschwerdeführers zu Recht aufgehoben und den Wegweisungsvollzug verfügt hat.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als aussichtslos erscheinen.</w:t>
      </w:r>
    </w:p>
    <w:p>
      <w:r>
        <w:rPr>
          <w:b/>
        </w:rPr>
        <w:t>E. 7.2</w:t>
      </w:r>
    </w:p>
    <w:p>
      <w:r>
        <w:t>Aus der Datenbank des "Zentralen Migrationsinformationssystems" des BFM (ZEMIS, vgl. ZEMIS-Verordnung vom 12. April 2006 [SR 142.513]) ist ersichtlich, dass der Beschwerdeführer seit Mai 2007 erwerbstätig ist, weshalb er nicht als bedürftig zu erachten ist. Mangels Erfüllen der kumulativen Voraussetzungen von Art. 65 VwVG (bedürftig/nicht aussichtslos) ist das Gesuch um Gewährung der unentgeltlichen Rechtspflege abzuweisen.</w:t>
      </w:r>
    </w:p>
    <w:p>
      <w:r>
        <w:rPr>
          <w:b/>
        </w:rPr>
        <w:t>E. 7.3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