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D-8164/2007 vom 12. März 2010</w:t>
      </w:r>
    </w:p>
    <w:p>
      <w:r>
        <w:t>Bundesverwaltungsgericht, 2010-03-12, DE</w:t>
      </w:r>
    </w:p>
    <w:p>
      <w:r>
        <w:rPr>
          <w:b/>
        </w:rPr>
        <w:t xml:space="preserve">Quelle: </w:t>
      </w:r>
      <w:r>
        <w:t>https://mcp.opencaselaw.ch/entscheid/bvger_D-8164_2007</w:t>
      </w:r>
    </w:p>
    <w:p>
      <w:r>
        <w:t>FR: TAF D-8164/2007 du 12 mars 2010</w:t>
      </w:r>
    </w:p>
    <w:p>
      <w:r>
        <w:t>IT: TAF D-8164/2007 del 12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und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bewirken.(Art. 3 AsylG).</w:t>
      </w:r>
    </w:p>
    <w:p>
      <w:r>
        <w:rPr>
          <w:b/>
        </w:rPr>
        <w:t>E. 4</w:t>
      </w:r>
    </w:p>
    <w:p>
      <w:r>
        <w:t>Zunächst ist zu prüfen, ob die vorgetragenen Fluchtumstände, die zur Ausreise aus dem Heimatstaat geführt haben sollen, als glaubhaft ge-macht zu erachten sind.</w:t>
      </w:r>
    </w:p>
    <w:p>
      <w:r>
        <w:rPr>
          <w:b/>
        </w:rPr>
        <w:t>E. 4.1</w:t>
      </w:r>
    </w:p>
    <w:p>
      <w:r>
        <w:t>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oder die Richterin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4.2</w:t>
      </w:r>
    </w:p>
    <w:p>
      <w:r>
        <w:t>Die Vorinstanz hat die vom Beschwerdeführer geltend gemachte behördliche Verfolgung wegen der Aktivitäten seines Vaters für unglaubhaft erachtet, da dessen eigene Vorbringen nicht geglaubt wer-den könnten. Gemäss Urteil _______ des Bundesverwaltungsge-richts, welches am selben Datum wie das vorliegende ausgefällt wird, wird die Unglaubhaftigkeit der angeblichen Fluchtgründe seines Vaters bestätigt. Die vom Beschwerdeführer geltend gemachte Reflexverfol-gung erscheint mithin ebenfalls nicht plausibel, da die von ihm vorge-brachten Razzien ja wegen der angeblichen politischen Tätigkeit sei-nes Vaters erfolgt sein sollen. Ergänzend ist anzuführen, dass das ein-gereichte Bestätigungsschreiben der KDPI vom 4. November 2007 auch keine gegen die Person des Beschwerdeführers unmittelbar ge-richtete Verfolgung durch die iranischen Behörden zu belegen vermag (vgl. dazu E. 4.2.2 in fine im Verfahren _______). Bei dieser Sach-lage kann davon abgesehen werden, auf allfällige Ungereimtheiten in seinem Sachvortrag beziehungsweise auf Unstimmigkeiten in seinen Aussagen im Vergleich zu denjenigen seiner Eltern einzugehen. Schliesslich ist anzufügen, dass die von ihm dargelegten Schwierig- keiten beim Studium offensichtlich keinen Asylgrund ausmachen.</w:t>
      </w:r>
    </w:p>
    <w:p>
      <w:r>
        <w:rPr>
          <w:b/>
        </w:rPr>
        <w:t>E. 4.3</w:t>
      </w:r>
    </w:p>
    <w:p>
      <w:r>
        <w:t>Im Weiteren ist festzustellen, dass praxisgemäss allfällige strafrechtliche Konsequenzen wegen Refraktion, Dienstverweigerung oder Desertion bei einer Rückkehr ins Heimatland grundsätzlich keine Verfol-gung im Sinne des Asylgesetzes darstellen. Es ist ein legitimes Recht jedes Staates, seine Bürger zum Militärdienst einzuberufen, weshalb strafrechtliche oder disziplinarische Massnahmen bei Pflichtverletzun-gen grundsätzlich nicht als politisch motivierte oder menschenrechts-widrige Verfolgungsmassnahmen zu betrachten sind. Allerdings stellt eine wegen Missachtung der Dienstpflicht drohende Strafe dann eine asylrelevante Verfolgung dar, wenn der Wehrpflichtige wegen seines Verhaltens mit einer Strafe zu rechnen hat, welche entweder aus Gründen nach Art. 3 AsylG diskriminierend höher ausfällt oder an sich unverhältnismässig hoch ist. Ebenfalls illegitim und daher flüchtlingsrechtlich relevant ist eine Einberufung zum Militärdienst, wenn sie darauf abzielt, einem Wehrpflichtigen aus einem der in Art. 3 AsylG ge- nannten Gründe erhebliche Nachteile zuzufügen oder diesen in völker- rechtlich verpönte Handlungen zu verstricken. Der Beschwerdeführer hat nach den Erkenntnissen des Bundesverwaltungsgerichts bei einer Rückkehr in den Heimatstaat mit einer Strafe von sechs Monaten bis maximal zwei Jahre zusätzlichem Militärdienst zu rechnen (vgl. UK Home Office, Country of Origin Information Report, Iran, 15. August 2008, Ziff. 10.05). Der zusätzliche, zeitlich beschränkte Militärdienst stellt keine politisch motivierte Verfolgung im Sinne des Asylgesetzes dar. Somit ergeben sich weder aus den Akten noch aus den Vorbrin-gen des Beschwerdeführers Anhaltspunkte, aufgrund derer geschlos-sen werden könnte, einer allfälligen Bestrafung wegen Dienstverwei-gerung würde eine flüchtlingsrechtlich erhebliche Motivation der hei-matlichen Behörden zugrunde liegen.</w:t>
      </w:r>
    </w:p>
    <w:p>
      <w:r>
        <w:rPr>
          <w:b/>
        </w:rPr>
        <w:t>E. 4.4</w:t>
      </w:r>
    </w:p>
    <w:p>
      <w:r>
        <w:t>Zusammenfassend ist festzuhalten, dass es dem Beschwerdefüh-rer nicht gelungen ist, eine im Zeitpunkt seiner Ausreise aus dem Iran bestehende oder unmittelbar drohende asylrelevante Verfolgungsge-fahr nachzuweisen oder glaubhaft zu machen. Somit hat die Vorinstanz sein Asylgesuch zu Recht und mit zutreffender Begründung abgewiesen. Bei dieser Sachlage kann davon abgesehen werden, auf weitere diesbezügliche Beschwerdevorbringen und Beweismittel einzugehen.</w:t>
      </w:r>
    </w:p>
    <w:p>
      <w:r>
        <w:rPr>
          <w:b/>
        </w:rPr>
        <w:t>E. 5.1</w:t>
      </w:r>
    </w:p>
    <w:p>
      <w:r>
        <w:t>Im Folgenden ist zu prüfen, ob der Beschwerdeführer durch sein Verhalten nach der Ausreise, das heisst durch sein geltend gemachtes exilpolitisches Engagement, eine zukünftige Verfolgung durch die irani-schen Behörden zu befürchten hat und aus diesem Grund die Flüchtlingseigenschaft erfüllt.</w:t>
      </w:r>
    </w:p>
    <w:p>
      <w:r>
        <w:rPr>
          <w:b/>
        </w:rPr>
        <w:t>E. 5.2</w:t>
      </w:r>
    </w:p>
    <w:p>
      <w:r>
        <w:t>Subjektive Nachfluchtgründe sind gemäss Praxis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Massgebend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Der Asylausschlussgrund von Art. 54 AsylG ist absolut zu verstehen und mithin unabhängig davon anzuwenden, ob Nach-fluchtgründe missbräuchlich gesetzt worden sind oder nicht. Es ist da-her nicht entscheidend, welchen mutmasslichen Zweck die asylsu-chende Person durch ihre exilpolitischen Tätigkeiten zu erreichen ver-sucht hat.</w:t>
      </w:r>
    </w:p>
    <w:p>
      <w:r>
        <w:rPr>
          <w:b/>
        </w:rPr>
        <w:t>E. 5.3</w:t>
      </w:r>
    </w:p>
    <w:p>
      <w:r>
        <w:t>Vorab ist festzustellen, dass die politische Betätigung für staatsfeindliche Organisationen im Ausland seit der Neufassung des iranischen Strafrechts im Jahr 1996 unter Strafe gestellt ist. Einschlägigen Berichten zufolge wurden denn auch Personen verhaftet, angeklagt und verurteilt, welche sich unter anderem im Internet kritisch zum iranischen Staat äusserten (vgl. die Auskunft der SFH-Länderanalyse vom 4. April 2006 ["Iran: Rückkehrgefährdung für AktivistInnen und Mitglieder exilpolitischer Organisationen - Informationsgewinnung irani-scher Behörden"] S. 3, mit weiteren Hinweisen). Es ist überdies all-gemein bekannt und unbestritten, dass die iranischen Behörden die politischen Aktivitäten ihrer Staatsangehörigen im Ausland überwa-chen und systematisch erfassen. Mittels Einsatz moderner Software dürfte es den iranischen Behörden auch ohne Weiteres möglich sein, die im Internet vorhandenen Datenmengen ohne allzu grossen Auf-wand gezielt und umfassend zu überwachen und gegebenenfalls nach Stichworten zu durchsuchen. In genereller Hinsicht ist ferner fest-zuhalten, dass nach konstanter Praxis bei iranischen Asylsuchenden das blosse Einreichen eines Asylgesuches keinen subjektiven Nach-fluchtgrund im Sinne von Art. 54 AsylG darstellt (vgl. BVGE 2009/28 E. 7.4.4). Demgegenüber bleibt im Einzelfall zu prüfen, ob die in der Schweiz entwickelten exilpolitischen Aktivitäten bei einer allfälligen Ausschaffung in den Iran mit überwiegender Wahrscheinlichkeit ernsthafte Nachteile im asylrechtlichen Sinne nach sich ziehen würden (vgl. 2.2.0. E.7.4.3). Es ist dabei davon auszugehen, dass sich die irani-schen Geheimdienste auf die Erfassung von Personen konzentrieren, die über die massentypischen und niedrigprofilierten Erscheinungsfor-men exilpolitischer Proteste hinaus Funktionen wahrgenommen und/oder Aktivitäten entwickelt haben, welche die jeweilige Person aus der Masse der mit dem Regime Unzufriedenen herausheben und als ernsthaften und gefährlichen Regimegegner erscheinen lassen. Somit sind die Mitgliedschaft in einer exilpolitischen Organisation, die Teil-nahme an regimekritischen Demonstrationen und das hierbei übliche Tragen von Plakaten und Rufen von Parolen nicht für die Einschätzung einer Verfolgungsgefahr von Bedeutung, sondern Positionen, Form und Einfluss von Aktionen (vgl. SFH-Bericht, a.a.O. S. 7).</w:t>
      </w:r>
    </w:p>
    <w:p>
      <w:r>
        <w:rPr>
          <w:b/>
        </w:rPr>
        <w:t>E. 5.4</w:t>
      </w:r>
    </w:p>
    <w:p>
      <w:r>
        <w:t>Der Beschwerdeführer ist offenbar Vorstandsmitglied beim provi-sorischen Komitee der _______ geworden (vgl. A 19/25, Antworten 208 ff. im Verfahren _______). Dass diese Funktion - sollte sie vom Beschwerdeführer tatsächlich wahrgenommen werden - mit einer persönlichen und relevanten Exponierung verbunden ist, kann den Akten indes nicht entnommen werden. In der Beschwerde-eingabe vom 30. November 2007 wird jedenfalls keine eigentliche Füh-rungsfunktion geltend gemacht. Auch gemäss den im erstinstanzlichen Verfahren eingereichten Beweismitteln, weiteren Eingaben im Be-schwerdeverfahren und den jeweils beigelegten Beweismitteln (vgl. Bst. I., J. und K. vorstehend) ist der Beschwerdeführer nicht markant politisch in Erscheinung getreten. Dass er und seine Angehörigen wie-derholt an Sitzungen der Partei beziehungsweise an Demonstrationen teilgenommen haben, ist in Anbetracht der eingereichten Unterlagen zwar unbestritten. Demgegenüber ist aufgrund seiner Vorbringen nicht davon auszugehen, dass er bereits vor der Ausreise die Aufmerksam-keit der iranischen Behörden in relevantem Ausmass auf sich gezogen hat. Die angeblich gezielte behördliche Suche vor der Ausreise nach seinem Vater ist gemäss den Erwägungen 4.2 vorstehend nicht glaubhaft. Vor diesem Hintergrund rechtfertigt sich der Schluss, dass der Beschwerdeführer vor seiner Absetzung in den Westen durch die irani-schen Behörden jedenfalls nicht als staatsgefährdender Politaktivist fichiert war.</w:t>
      </w:r>
    </w:p>
    <w:p>
      <w:r>
        <w:rPr>
          <w:b/>
        </w:rPr>
        <w:t>E. 5.5</w:t>
      </w:r>
    </w:p>
    <w:p>
      <w:r>
        <w:t>Die exilpolitischen Aktivitäten des Beschwerdeführers können denn auch insofern mit denjenigen einer Vielzahl seiner Landsleute in Übereinstimmung gebracht werden, als sich diese kaum von den üblichen Aktivitäten anderer Iraner abheben. Es ist daher nicht anzuneh-men, dass die iranischen Behörden beim Beschwerdeführer von einer Bedrohung für das Regime ausgehen. Die Funktion des Beschwerde-führers - sollten die iranischen Behörden überhaupt davon Kenntnis erlangen - ist aufgrund der gesamten Umstände jedenfalls nicht ge-eignet, ihn als eine Person mit klar definierten oppositionspolitischen Vorstellungen und persönlichem Agitationspotenzial, welche zu einer Gefahr für das Regime im Iran werden könnte, erscheinen zu lassen. Die durch den kaum besonders exponierten Beschwerdeführer öffentlich vorgetragene Kritik am Regime weist demnach insgesamt nicht die nötige Intensität auf, um bei den iranischen Behörden den Eindruck zu erwecken, dass er zu einer Gefahr für den Bestand ihres Regimes werde. Zudem weist nichts darauf hin, dass in seinem Heimatstaat ein Strafverfahren oder andere behördliche Massnahmen eingeleitet wor-den wären. Solche Massnahmen scheinen auch im Falle der Rückkehr nicht überwiegend wahrscheinlich.</w:t>
      </w:r>
    </w:p>
    <w:p>
      <w:r>
        <w:rPr>
          <w:b/>
        </w:rPr>
        <w:t>E. 5.6</w:t>
      </w:r>
    </w:p>
    <w:p>
      <w:r>
        <w:t>Das Bundesverwaltungsgericht geht deshalb davon aus, dass insgesamt keine subjektiven Nachfluchtgründe vorliegen, die bei einer Rückkehr des Beschwerdeführers in den Iran zu einer für die Flüchtlingseigenschaft relevanten Verfolgung führen. Er erfüllt somit die Anforderungen an die Flüchtlingseigenschaft auch aufgrund subjektiver Nachfluchtgründe nicht. Die Vorinstanz hat somit seine Flüchtlingseigenschaft zu Recht verneint.</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6.1</w:t>
      </w:r>
    </w:p>
    <w:p>
      <w:r>
        <w:t>Der Beschwerdeführer verfügt weder über eine ausländerrechtliche Aufenthaltsbewilligung noch über einen Anspruch auf Erteilung einer solchen. Die Wegweisung wurde demnach zu Recht angeordnet (Art. 44 Abs. 1 AsylG).</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7.1.2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w:t>
      </w:r>
    </w:p>
    <w:p>
      <w:r>
        <w:rPr>
          <w:b/>
        </w:rPr>
        <w:t>E. 7.1.3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Saadi gegen Italien, Urteil vom 28. Februar 2008 [Application no. 37201/06]). Dies ist ihm unter Hinweis auf die Erwägungen zum Asyl- beziehungsweise Flüchtlingspunkt nicht gelun-gen. Auch die allgemeine Menschenrechtssituation im Iran lässt den Wegweisungsvollzug zum heutigen Zeitpunkt nicht als unzulässig er-scheinen.</w:t>
      </w:r>
    </w:p>
    <w:p>
      <w:r>
        <w:rPr>
          <w:b/>
        </w:rPr>
        <w:t>E. 7.1.4</w:t>
      </w:r>
    </w:p>
    <w:p>
      <w:r>
        <w:t>Nach dem Gesagten ist der Vollzug der Wegweisung sowohl im Sinne der asyl- als auch der völkerrechtlichen Bestimmungen zulässig.</w:t>
      </w:r>
    </w:p>
    <w:p>
      <w:r>
        <w:rPr>
          <w:b/>
        </w:rPr>
        <w:t>E. 7.2.1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7.2.2</w:t>
      </w:r>
    </w:p>
    <w:p>
      <w:r>
        <w:t>Vorliegend ist der Vollzug als zumutbar zu erachten, weil keine Hinweise dafür bestehen, dass der Beschwerdeführer bei einer Rückkehr in den Iran einer konkreten Gefährdung ausgesetzt wäre. Das Bundesverwaltungsgericht erachtet den Wegweisungsvollzug in den Iran gestützt auf die allgemeine Lage als nach wie vor generell zumut-bar. Es sind sodann keine individuellen Vollzugshindernisse erkennbar. Die Familie des Beschwerdeführers besass vor der Ausreise einen Lebensmittelladen, und am Herkunftsort dürften nach wie vor soziale Anknüpfungspunkte bestehen. Auch die Eltern des Beschwerdeführers dürften in der Lage sein, den Familienverband bei der Wiederansied-lung vor Ort zu unterstützen. Der Beschwerdeführer wird so nach sei-ner Rückkehr nicht in eine existenzgefährdende Lage geraten. Auch allfällige relevante Diskriminierungen wegen seiner ethnischen Zuge-hörigkeit sind aufgrund der Akten nicht ersichtlich. Nach dem Gesag-ten erweist sich der Vollzug der Wegweisung als zumutbar.</w:t>
      </w:r>
    </w:p>
    <w:p>
      <w:r>
        <w:rPr>
          <w:b/>
        </w:rPr>
        <w:t>E. 7.3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7.4</w:t>
      </w:r>
    </w:p>
    <w:p>
      <w:r>
        <w:t>Zusammenfassend ergibt sich, dass das BFM den Vollzug der Wegweisung zu Recht als zulässig, zumutbar und möglich erachtet hat. Die Anordnung der vorläufigen Aufnahme fällt somit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dem Beschwerdeführer aufgrund seines Unterliegens die Verfahrenskosten aufzuerlegen (Art. 63 Abs. 1 VwVG; Art. 1-3 des Reglements vom 21. Februar 2008 über die Kosten und Entschädigungen vor dem Bundesverwaltungsgericht [VGKE, SR 173.320.2]). Da das Gesuch gemäss Art. 65 Abs. 1 VwVG mit Zwischenverfügung vom 18. Dezember 2007 gutgeheissen wurde, erfolgt keine Kostenauflage.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