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D-8151/2010 vom 25. August 2011</w:t>
      </w:r>
    </w:p>
    <w:p>
      <w:r>
        <w:t>Bundesverwaltungsgericht, 2011-08-25, DE</w:t>
      </w:r>
    </w:p>
    <w:p>
      <w:r>
        <w:rPr>
          <w:b/>
        </w:rPr>
        <w:t xml:space="preserve">Quelle: </w:t>
      </w:r>
      <w:r>
        <w:t>https://mcp.opencaselaw.ch/entscheid/bvger_D-8151_2010</w:t>
      </w:r>
    </w:p>
    <w:p>
      <w:r>
        <w:t>FR: TAF D-8151/2010 du 25 août 2011</w:t>
      </w:r>
    </w:p>
    <w:p>
      <w:r>
        <w:t>IT: TAF D-8151/2010 del 25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Nach Lehre und Rechtsprechung erfüllt eine asylsuchende Person die Flüchtlingseigenschaft,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S. 379; BVGE 2008/4 E. 5.2 S. 37 f.).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Mit der Vorinstanz ist festzuhalten, dass der auf den Beschwerdeführer ausgeübte Druck, in die Regierungspartei EPRDF einzutreten, um beruflich nicht benachteiligt zu werden, asylrechtlich nicht von Belang ist (vgl. zum Zusammenhang zwischen Intensität der Verfolgung und Flüchtlingsanerkennung Walter Stöckli, Asyl, in: Uebersax/Rudin/Hugi/Yar/ Geiser [Hrsg.], Ausländerrecht, 2. Aufl., Basel 2009, Rz. 11.14 f.; hiezu auch Urteil des Bundesverwaltungsgerichts E-5705/2006 vom 23. November 2009). Die dem Beschwerdeführer von zwei hochrangigen Parteimitgliedern der EPRDF angedrohten Beeinträchtigungen im Berufsleben beziehungsweise die Druckversuche von zwei Mitarbeitern des Handels- und Industrieministeriums stellen keine derart intensiven Massnahmen dar, die dem Beschwerdeführer eine menschenunwürdige Existenz in Äthiopien verunmöglicht oder unzumutbar erschwert hätten.</w:t>
      </w:r>
    </w:p>
    <w:p>
      <w:r>
        <w:rPr>
          <w:b/>
        </w:rPr>
        <w:t>E. 4.3</w:t>
      </w:r>
    </w:p>
    <w:p>
      <w:r>
        <w:t>Zusammenfassend ist deshalb festzuhalten, dass es dem Beschwerdeführer nicht gelungen ist, nachzuweisen oder glaubhaft zu machen, dass er sich im Zeitpunkt seiner Ausreise aus Äthiopien in einer asylrelevanten Verfolgungsgefahr befand oder eine solche unmittelbar drohte.</w:t>
      </w:r>
    </w:p>
    <w:p>
      <w:r>
        <w:rPr>
          <w:b/>
        </w:rPr>
        <w:t>E. 5.1</w:t>
      </w:r>
    </w:p>
    <w:p>
      <w:r>
        <w:t>Im (zweiten) Asylgesuch vom 20. Dezember 2006 sowie in der Rechtsmittelschrift machte der Beschwerdeführer geltend, er habe sich auch in exilpolitischer Hinsicht in der Schweiz exponiert, weshalb er sich zusätzlich auf subjektive Nachfluchtgründe berufe.</w:t>
      </w:r>
    </w:p>
    <w:p>
      <w:r>
        <w:rPr>
          <w:b/>
        </w:rPr>
        <w:t>E. 5.2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und BVGE 2009/29 E. 5.1 S. 376 mit weiteren Hinweisen).</w:t>
      </w:r>
    </w:p>
    <w:p>
      <w:r>
        <w:rPr>
          <w:b/>
        </w:rPr>
        <w:t>E. 5.3</w:t>
      </w:r>
    </w:p>
    <w:p>
      <w:r>
        <w:t>Zunächst ist festzuhalten, dass von der Vorinstanz nicht bestritten wird, dass sich der Beschwerdeführer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daher zu prüfen, ob diese Voraussetzung im Fall des Beschwerdeführers erfüllt ist.</w:t>
      </w:r>
    </w:p>
    <w:p>
      <w:r>
        <w:rPr>
          <w:b/>
        </w:rPr>
        <w:t>E. 5.4</w:t>
      </w:r>
    </w:p>
    <w:p>
      <w:r>
        <w:t>Gemäss Erkenntnissen des Bundesverwaltungsgerichts (vgl. etwa Urteile des Bundesverwaltungsgerichts D-5036/2009 vom 11. Oktober 2010 und E-4290/2008 vom 3. September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der CUDP/KINIJIT respektive in anderen im Ausland tätigen oppositionellen Organisationen aktiv waren oder auch nur mit ihr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Organisationen vorliegt. Angesichts der beschränkten Ressourcen des äthiopischen Nachrichtendienstes stellt sich die Frage nach der Wahrscheinlichkeit und dem Ausmass einer allfälligen Überwachung in der Schweiz, welche indessen in casu offenbleiben kann. Von Bedeutung ist vorliegend dagegen die tatsächliche Erkennbarkeit der behaupteten exilpolitischen Tätigkeit, die Individualisierbarkeit des Beschwerdeführers und dessen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5.5</w:t>
      </w:r>
    </w:p>
    <w:p>
      <w:r>
        <w:t>Diesbezüglich ist vorab festzustellen, dass es dem Beschwerdeführer weder im ersten noch im zweiten Asylverfahren gelungen ist, eine politisch motivierte asylrelevante Verfolgung im Heimatland darzutun, weshalb auch nicht davon auszugehen ist, dass er vor seiner Ausreise aus Äthiopien im Visier der heimatlichen Behörden stand oder gar als Regimegegner oder politischer Aktivist registriert war.</w:t>
      </w:r>
    </w:p>
    <w:p>
      <w:r>
        <w:rPr>
          <w:b/>
        </w:rPr>
        <w:t>E. 5.6</w:t>
      </w:r>
    </w:p>
    <w:p>
      <w:r>
        <w:t>Aus den Akten geht hervor, dass der Beschwerdeführer Mitglied der CUDP/KINIJT ist, an Konferenzen dieser Partei teilgenommen und sich in der Schweiz an diversen Protestkundgebungen respektive Demonstrationen gegen die äthiopische Regierung beteiligt hat. Zudem hat er sich in zwei Petitionslisten, die die Politik Äthiopiens kritisierten, eingetragen. Dennoch ist ein exponierter exilpolitischer Einsatz des Beschwerdeführers, der ihn ins Zentrum des Interesses des äthiopischen Nachrichtendienstes rücken könnte, zu verneinen. In diesem Zusammenhang ist festzuhalten, dass bei behaupteten subjektiven Nachfluchtgründen in der Regel ein strikter Beweis möglich und deshalb auch erforderlich ist (vgl. Stöckli a.a.O. Rz. 11.148). Das BFM führt denn in der angefochtenen Verfügung auch zu Recht aus, dass die äthiopischen Behörden nur dann ein Interesse an der Identifizierung einer Person haben, wenn deren Aktivitäten als konkrete Bedrohung für das politische System wahrgenommen werden. Für die Annahme, der Beschwerdeführer habe sich in dieser besonderen Art und Weise betätigt, bestünden keine Anhaltspunkte. Er gehöre mit Sicherheit nicht zur Zielgruppe des "harten Kerns" von aktiven oppositionellen Äthiopiern im Ausland, für die sich die äthiopischen Behörden interessierten. Dieser Beurteilung schliesst sich das Bundesverwaltungsgericht an. Vorliegend ist zudem - entgegen der Behauptung im Asylgesuch vom 20. Dezember 2006 - darauf zu schliessen, dass sich die bisherigen exilpolitischen Aktivitäten des Beschwerdeführers lediglich in wenig exponierten Tätigkeiten erschöpft haben (Bezahlung des Mitgliederbeitrages beziehungsweise Teilnahme an Versammlungen, Demonstrationen und Kundgebungen der CUDP/KINIJT). Da der Beschwerdeführer gemäss eigenen Angaben lediglich ein gewöhnliches Mitglied der CUDP/KINIJT ist (vgl. Akten BFM 6/11, S. 6 f.), betätigt er sich nicht in einer hohen und in der Öffentlichkeit exponierten Kaderstelle, weshalb die äthiopischen Behörden auch aus diesem Grund in ihm nicht einen ernsthaften und in seinem Wirkungsgrad gefährlichen Regimegegner sehen dürften. Vor diesem Hintergrund lässt die im vorliegenden Verfahren durch die weiteren Beweismittel dokumentierte Beteiligung des Beschwerdeführers an exilpolitischen Aktivitäten - sei es als Teilnehmer an Kundgebungen und Versammlungen oder als Unterzeichner von Petitionen - von vornherein nicht das Gefährdungspotenzial ersehen, welches der Beschwerdeführer daraus zu ziehen versucht. Entgegen der Behauptung in der Rechtsmittelschrift ist demnach nicht davon auszugehen, dass der Beschwerdeführer bei einer Rückkehr in sein Heimatland eine asylrechtlich relevante Gefährdung zu befürchten hat. An dieser Einschätzung ändern auch die Ausführungen im Asylgesuch vom 20. Dezember 2006 hinsichtlich des als Beweismittel eingereichten Rundschreibens des äthiopischen Aussenministeriums vom 31. Juli 2006 nichts. Ebenso wenig vermag der Umstand, dass der Beschwerdeführer vor seiner Ausreise aus Äthiopien eine hohe Funktion im Handels- und Industrieministerium bekleidete, ihn als konkrete Bedrohung für das politische System in Äthiopien erscheinen zu lassen, zumal diese Tätigkeit schon beinahe acht Jahre zurück liegt. Es dürfte den äthiopischen Behörden im Übrigen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Im vorliegenden Fall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Schliesslich ist festzuhalten, dass die Behauptung des Beschwerdeführers, wonach er auch von hier in der Schweiz operierenden mutmasslichen Geheimdienstmitarbeitern des äthiopischen Regimes massiv bedroht worden sei, in keiner Weise belegt ist. Subjektive Nachfluchtgründe im Sinne von Art. 54 AsylG sind vorliegend daher nicht gegeben.</w:t>
      </w:r>
    </w:p>
    <w:p>
      <w:r>
        <w:rPr>
          <w:b/>
        </w:rPr>
        <w:t>E. 5.7</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 Unter Berücksichtigung der gesamten Umstände folgt, dass keine subjektiven Nachfluchtgründe im Sinne von Art. 54 AsylG vorliegen, weshalb die Vorinstanz zu Recht die Flüchtlingseigenschaft des Beschwerdeführers verneint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ihm im Falle einer Rückkehr nach Äthiopien eine derartige Gefahr droht. Entgegen der vom Beschwerdeführer vertretenen Auffassung lässt auch die allgemeine Menschenrechtssituation in Äthiopien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7.3.3</w:t>
      </w:r>
    </w:p>
    <w:p>
      <w:r>
        <w:t>Aufgrund der persönlichen Situation des Beschwerdeführers sind ebenfalls keine Gründe ersichtlich, die gegen die Zumutbarkeit des Wegweisungsvollzugs sprechen. Es ist nicht in Abrede zu stellen, dass der Beschwerdeführer bei einer Rückkehr nach Äthiopien aufgrund seiner mehrjährigen Landesabwesenheit mit gewissen Schwierigkeiten konfrontiert werden könnte. Indes hat er bis zu seiner Ausreise im Jahre 2003, mithin (...) Jahre, in seinem Heimatland gelebt. Zudem verfügt der - soweit den Akten zu entnehmen ist - gesunde Beschwerdeführer über eine sehr gute Ausbildung (Universitätsabschluss in [...]) sowie über jahrelange Berufserfahrung in verantwortungsvoller Position, weshalb anzunehmen ist, er könne sich in seiner Heimat wieder wirtschaftlich integrieren. Überdies leben seine Mutter sowie eine Schwester in Äthiopien. Bei dieser Sachlage ist davon auszugehen, dass der Beschwerdeführer in seinem Heimatland über ein soziales Beziehungsnetz verfügt, welches ihm eine Reintegration erleichtern kann. Die Rückkehrhilfe der Schweiz wird ihm im Bedarfsfall den Wiedereinstieg in seine Heimat ebenfalls erleichtern (Art. 74 der Asylverordnung 2 vom 11. August 1999 [AsylV 2, SR 142.312]). Blosse soziale und wirtschaftliche Schwierigkeiten, von denen die ansässige Bevölkerung im Allgemeinen betroffen ist, genügen nicht, um eine Gefährdung im Sinne von Art. 83 Abs. 4 AuG darzustellen (vgl. BVGE 2008/34 E.11.2.2; EMARK 2005 Nr. 24 E. 10.1 S. 215).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vgl. BVGE 2008/34 E. 12).</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5. Dezember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