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D-814/2011 vom 9. Februar 2011</w:t>
      </w:r>
    </w:p>
    <w:p>
      <w:r>
        <w:t>Bundesverwaltungsgericht, 2011-02-09, DE</w:t>
      </w:r>
    </w:p>
    <w:p>
      <w:r>
        <w:rPr>
          <w:b/>
        </w:rPr>
        <w:t xml:space="preserve">Quelle: </w:t>
      </w:r>
      <w:r>
        <w:t>https://mcp.opencaselaw.ch/entscheid/bvger_D-814_2011</w:t>
      </w:r>
    </w:p>
    <w:p>
      <w:r>
        <w:t>FR: TAF D-814/2011 du 9 février 2011</w:t>
      </w:r>
    </w:p>
    <w:p>
      <w:r>
        <w:t>IT: TAF D-814/2011 del 9 febbraio 2011</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Die Beschwerdeführenden sind legitimiert (Art. 48 Abs. 1 VwVG) und die Beschwerdeeingabe wurde sowohl frist- als auch formgerecht eingereicht (Art. 108 Abs. 1 AsylG i.V.m. Art. 21 Abs. 1 VwVG sowie Art. 52 Abs. 1 VwVG), weshalb auf die Beschwerde einzutreten ist.</w:t>
      </w:r>
    </w:p>
    <w:p>
      <w:r>
        <w:rPr>
          <w:b/>
        </w:rPr>
        <w:t>E. 1.5</w:t>
      </w:r>
    </w:p>
    <w:p>
      <w:r>
        <w:t>Die vorliegende Beschwerde erweist sich - wie nachfolgend aufgezeigt - als offensichtlich unbegründet, weshalb darüber in einzelrichterli­cher Zuständigkeit mit Zustimmung eines zweiten Richters bezie­hungsweise einer zweiten Richterin zu entscheiden (Art. 111 Bst. e AsylG). Gleichzeitig ist auf die Durchführung eines Schriftenwechsels zu verzichten und der Beschwerdeentscheid nur summarisch zu begründen ist (Art. 111a Abs. 1 und 2 AsylG).</w:t>
      </w:r>
    </w:p>
    <w:p>
      <w:r>
        <w:rPr>
          <w:b/>
        </w:rPr>
        <w:t>E. 2</w:t>
      </w:r>
    </w:p>
    <w:p>
      <w:r>
        <w:t>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 Vorliegend wurde von Seiten der schweizerischen Botschaft in Bogotá aus Kapazitätsgründen auf die Durchführung einer Befragung verzichtet und das schriftliche Gesuch der Beschwerdeführenden direkt ans BFM überwiesen. In der Folge gelangte das BFM nach Prüfung der Akten zum Schluss, der entscheidrelevante Sachverhalt sei bereits aufgrund der schriftlichen Begründung des Asylgesuches und der eingereichten ausführlichen Dokumentation als erstellt zu erachten. Über diesen Schluss wurden die Beschwerdeführenden mit Schreiben des BFM vom 7. September 2010 in Kenntnis gesetzt, wobei sie - zwecks Wahrung des rechtlichen Gehörs - vom BFM gleichzeitig zur Stellungnahme eingeladen wurden. Dabei wurde den Beschwerdeführenden vom BFM eröffnet, dass eine Abweisung des Asylgesuches in Erwägung gezogen werde, unter gleichzeitiger Bekanntgabe der entsprechenden Gründe (Möglichkeit einer anderweitigen Schutzsuche). Die Beschwerdeführenden haben in der Folge am 25. November 2010 von der Möglichkeit zur Stellungnahme Gebrauch gemacht. Vor dem Hintergrund der massgeblichen Praxis zur Behandlung von Asyl­gesuchen aus dem Ausland und Einreisebewilligung sowie unter Berücksichtigung der gesamten Aktenlage ist festzustellen, dass in vorliegender Sache auf eine Befragung der Beschwerdeführenden verzichtet werden durfte und dass mit der Einladung zur Stellungnahme vom 7. September 2010 den massgeblichen verfahrensrechtlichen Anforderungen Genüge getan wurde (vgl. dazu BVGE 2007/30, insb. E 5.6 und 5.7)</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Entscheidungen und Mitteilungen der Schweizerischen Asylrekurskommission [EMARK] 1997 Nr. 15 E. 2 f, welche angesichts bloss redaktioneller Änderungen bei der letzten Totalrevision des Asylgesetzes nach wie vor Gültigkeit hat). Ausschlaggebend für die Erteilung der Einreisebewilligung ist dabei die Schutzbedürftigkeit der betroffenen Personen (vgl. a.a.O., E. 2c), mithin die Prüfung der Frage, ob eine Gefährdung im Sinne von Art. 3 AsylG glaubhaft gemacht wird, und bejahendenfalls, ob es aufgrund der ganzen Umstände geboten erscheint, dass es die Schweiz ist, die den notwendigen Schutz gewährt, sowie, bei unvollständiger Sachverhaltserstellung, ob der Verbleib am Aufenthaltsort für die Dauer der Sachverhaltsabklärung zugemutet werden kann.</w:t>
      </w:r>
    </w:p>
    <w:p>
      <w:r>
        <w:rPr>
          <w:b/>
        </w:rPr>
        <w:t>E. 4.1</w:t>
      </w:r>
    </w:p>
    <w:p>
      <w:r>
        <w:t>Vorliegend ist zunächst festzuhalten, dass die Beschwerdeführenden - wie vom BFM zu Recht erkannt - keine besonders nahen Beziehungen zur Schweiz aufweisen. Hingegen befinden sie sich eigenen Angaben zufolge und gemäss Vermerk der schweizerischen Botschaft in Santiago de Chile bereits seit längerer Zeit in Chile. Daneben besteht aufgrund der Akten Anlass zur Annahme eines persönlichen Anknüpfungspunktes ... [in einem mittelamerikanischen Staat], da dort gemäss Vermerk der schweizerischen Botschaft in Bogotá eine Schwester des Beschwerdeführers lebt. Unter Beachtung dieser Umstände - namentlich aufgrund des bereits seit lange andauernden Aufenthalts in Chile - ist mit dem BFM darin einig zu gehen, dass es den Beschwerdeführenden zuzumuten sei, in einem anderen Land als der Schweiz um Schutz nachzusuchen (vgl. dazu Art. 52 Abs. 2 AsylG).</w:t>
      </w:r>
    </w:p>
    <w:p>
      <w:r>
        <w:rPr>
          <w:b/>
        </w:rPr>
        <w:t>E. 4.2</w:t>
      </w:r>
    </w:p>
    <w:p>
      <w:r>
        <w:t>In diesem Zusammenhang ist darauf hinzuweisen, dass Chile wie beispielsweise auch vier der fünf Nachbarstaaten von Kolumbien - Brasilien, Ecuador, Panama und Peru - Vertragsparteien sowohl des Abkommens vom 28. Juli 1951 über die Rechtsstellung der Flüchtlinge (Flüchtlingskonvention [FK], SR 0.142.30) als auch des betreffenden Zusatzprotokolls vom 31. Januar 1967 sind. Venezuela als fünfter Nachbarstaat hat zwar das Abkommen nicht ratifiziert, wohl aber das Protokoll. Die erwähnten Länder verfügen mit Ausnahme Venezuelas über ein eigenes, gesetzlich geregeltes Verfahren zur Anerkennung von Flüchtlingen. Namentlich betreffend Chile ist festzuhalten, dass das Land im Frühjahr 2010 ein neues Gesetz zum Schutz von Flüchtlingen verabschiedet hat, welches vom UNHCR als umfassend und vorbildlich bezeichnet wird.</w:t>
      </w:r>
    </w:p>
    <w:p>
      <w:r>
        <w:rPr>
          <w:b/>
        </w:rPr>
        <w:t>E. 4.3</w:t>
      </w:r>
    </w:p>
    <w:p>
      <w:r>
        <w:t>Von Seiten der Beschwerdeführenden werden keine Gründe vorgebracht, welche gegen die faktische Möglichkeit eines Schutzersuchens namentlich an ihrem derzeitigen Aufenthaltsort sprechen würden, und es sind im Weiteren auch keine Gründe ersichtlich, welche ein Schutzersuchen in Chile als objektiv unzumutbar erscheinen liesse (vgl. in diesem Zusammenhang auch EMARK 2004 Nr. 20, welcher sich über die Möglichkeit und Zumutbarkeit eines Schutzersuchens in den kolumbianischen Nachbarstaaten ausspricht). Zwar wird auf Beschwerdeebene vorgebracht, der Beschwerdeführer und seine Angehörigen hätten sich auch in Chile vor Übergriffen der FARC zu fürchten. Dieses Vorbringen vermag indes nicht zu überzeugen, da aufgrund der Akten kein Anlass zur Annahme besteht, beim Beschwerdeführer - ein einfacher Arbeiter, welcher in einem lokalen Kontext mit der FARC in Konflikt geraten ist - handle es sich über eine bekannte Persönlichkeit, welche aufgrund einer exponierten Stellung gegebenenfalls auch über die Landesgrenzen hinaus mit Nachstellungen zu rechnen hätte. In diesem Sinne wird schliesslich auch auf Beschwerdeebene nicht geltend gemacht, der Beschwerdeführer hätte in Chile konkrete Nachstellungen erlebt.</w:t>
      </w:r>
    </w:p>
    <w:p>
      <w:r>
        <w:rPr>
          <w:b/>
        </w:rPr>
        <w:t>E. 4.4</w:t>
      </w:r>
    </w:p>
    <w:p>
      <w:r>
        <w:t>Zusammenfassend ergibt sich, dass die Beschwerdeführenden über keine Beziehungsnähe zur Schweiz verfügen, sie jedoch namentlich an ihrem derzeitigen Aufenthaltsort in Chile über die faktische Möglichkeit eines anderweitigen Schutzersuchens verfügen, welches auch als zumutbar zu erkennen ist. Unter diesen Umständen hat die Vorinstanz den Beschwerdeführenden zu Recht die Erteilung der Einreisebewilligung verweigert und die Asylgesuche abgelehnt.</w:t>
      </w:r>
    </w:p>
    <w:p>
      <w:r>
        <w:rPr>
          <w:b/>
        </w:rPr>
        <w:t>E. 4.5</w:t>
      </w:r>
    </w:p>
    <w:p>
      <w:r>
        <w:t>Bei dieser Sachlage hat das BFM im Weiteren auch zu Recht auf eine nähere Prüfung der geltend gemachten Gefährdungssituation in Kolumbien verzichtet, wie letztlich auch offen bleiben kann, ob die Beschwerdeführenden innerhalb ihres Heimatstaates tatsächlich keinen Schutz vor den geltend gemachten Nachstellungen hätten finden können.</w:t>
      </w:r>
    </w:p>
    <w:p>
      <w:r>
        <w:rPr>
          <w:b/>
        </w:rPr>
        <w:t>E. 5</w:t>
      </w:r>
    </w:p>
    <w:p>
      <w:r>
        <w:t>Nach vorstehenden Erwägungen ist festzustellen, dass die angefochtene Verfügung Bundesrecht nicht verletzt, den rechtserheblichen Sachverhalt richtig und vollständig feststellt und angemessen ist (Art. 106 AsylG). Die Beschwerde ist daher abzuweisen.</w:t>
      </w:r>
    </w:p>
    <w:p>
      <w:r>
        <w:rPr>
          <w:b/>
        </w:rPr>
        <w:t>E. 6</w:t>
      </w:r>
    </w:p>
    <w:p>
      <w:r>
        <w:t>Bei diesem Ausgang des Verfahrens wären den Beschwerdeführenden an sich Kosten aufzuerlegen (Art. 63 Abs. 1 VwVG). Aus verwaltungsökonomischen Gründen respektive zufolge voraussichtlicher Uneinbringlichkeit der Kosten ist indes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