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D-813/2012 vom 15. November 2013</w:t>
      </w:r>
    </w:p>
    <w:p>
      <w:r>
        <w:t>Bundesverwaltungsgericht, 2013-11-15, DE</w:t>
      </w:r>
    </w:p>
    <w:p>
      <w:r>
        <w:rPr>
          <w:b/>
        </w:rPr>
        <w:t xml:space="preserve">Quelle: </w:t>
      </w:r>
      <w:r>
        <w:t>https://mcp.opencaselaw.ch/entscheid/bvger_D-813_2012</w:t>
      </w:r>
    </w:p>
    <w:p>
      <w:r>
        <w:t>FR: TAF D-813/2012 du 15 novembre 2013</w:t>
      </w:r>
    </w:p>
    <w:p>
      <w:r>
        <w:t>IT: TAF D-813/2012 del 15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 führende Person Schutz sucht (Art. 105 AsylG; Art. 83 Bst. d Ziff. 1 des Bundesgerichtsgesetzes vom 17. Juni 2005 [BGG, SR173.110]).</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Art. 48 Abs. 1 VwVG). Auf die frist- und formgerecht eingereichte Beschwerde ist einzutreten (Art. 108 Abs. 1 AsylG; Art. 105 AsylG i.V.m. Art. 37 VGG und Art. 52 Abs. 1 VwVG). 2.1 Mit Beschwerde können die Verletzung von Bundesrecht, die unrichtige oder unvollständige Feststellung des rechtserheblichen Sachverhalts und die Unangemessenheit gerügt werden (Art. 106 Abs. 1 AsylG). 2.2 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(sog. Motivsubstitution vgl. MADELEINE CAMPRUBI in: AUER/MÜLLER/SCHINDLER [HRSG.], VwVG, Kommentar zum Bundesgesetz über das Verwaltungsverfahren, Zürich/St. Gallen 2008, N 15 zu Art. 62 VwVG). ). 2.3 Die Beschwerde ist im Verfahren einzelrichterlicher Zuständigkeit mit Zustimmung eines zweiten Richters bzw. - wie vorliegend - einer zweiten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bei denen die sri-lankischen Behörden offenbar tamilische Rückkehrer bei der Wiedereinreise in Haft genommen haben. Daraufhin hat das BFM in Aussicht gestellt, nicht nur die beiden Vorfälle, sondern auch eine allfällige Veränderung der allgemeinen Situation in Sri Lanka vertieft abzuklären. Das Bundesamt geht damit selbst davon aus, dass der Sachverhalt, wie er der Verfügung vom 3. Januar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w:t>
      </w:r>
    </w:p>
    <w:p>
      <w:r>
        <w:rPr>
          <w:b/>
        </w:rPr>
        <w:t>E. 3.3</w:t>
      </w:r>
    </w:p>
    <w:p>
      <w:r>
        <w:t>Demnach ist die angefochtene Verfügung aufzuheben und die Sache zur vollständigen Sachverhaltsfeststellung und neuen Entscheidung an die Vorinstanz zurückzuweisen. Die Tatsache allein, dass die Ergebnisse der vorinstanzlichen Abklärungen abzuwarten sind, rechtfertigt die Aufhebung der Verfügung. Somit ist die Beschwerde - ungeachtet der Parteivorbringen - gutzuheissen.</w:t>
      </w:r>
    </w:p>
    <w:p>
      <w:r>
        <w:rPr>
          <w:b/>
        </w:rPr>
        <w:t>E. 4.1</w:t>
      </w:r>
    </w:p>
    <w:p>
      <w:r>
        <w:t>Bei diesem Ausgang des Verfahrens sind keine Kosten zu erheben (Art. 63 VwVG). Das Gesuch um Gewährung der unentgeltlichen Rechtspflege im Sinne von Art. 65 Abs. 1 VwVG vom 12. März 2012 wird somit gegenstandslos.</w:t>
      </w:r>
    </w:p>
    <w:p>
      <w:r>
        <w:rPr>
          <w:b/>
        </w:rPr>
        <w:t>E. 4.2</w:t>
      </w:r>
    </w:p>
    <w:p>
      <w:r>
        <w:t>Der Beschwerdeführerin ist angesichts des Ausgangs des Verfahrens in Anwendung von Art. 64 VwVG und Art. 7 Abs. 1 des Reglements vom 21. Februar 2008 über die Kosten und Entschädigungen vor dem Bundesverwaltungsgericht (VGKE, SR 173.320.2) eine Entschädigung für die ihr notwendigerweise erwachsenen Parteikosten zuzusprechen. Da keine Kostennote eingereicht wurde, ist die Parteientschädigung unter Berücksichtigung der massgeblichen Bemessungsfaktoren (vgl. Art. 8 ff. VGKE) von Amtes wegen (Art. 14 Abs. 2 VGKE) auf Fr. 2'000.- (inkl. Auslagen und Mehrwertsteuer) festzulegen. Das BFM ist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