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D-8135/2008 vom 1. Juli 2011</w:t>
      </w:r>
    </w:p>
    <w:p>
      <w:r>
        <w:t>Bundesverwaltungsgericht, 2011-07-01, DE</w:t>
      </w:r>
    </w:p>
    <w:p>
      <w:r>
        <w:rPr>
          <w:b/>
        </w:rPr>
        <w:t xml:space="preserve">Quelle: </w:t>
      </w:r>
      <w:r>
        <w:t>https://mcp.opencaselaw.ch/entscheid/bvger_D-8135_2008</w:t>
      </w:r>
    </w:p>
    <w:p>
      <w:r>
        <w:t>FR: TAF D-8135/2008 du 1 juillet 2011</w:t>
      </w:r>
    </w:p>
    <w:p>
      <w:r>
        <w:t>IT: TAF D-8135/2008 del 1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zur Publikation vorgesehenen Urteil BVGE E-7625/2008 vom 16. Juni 2011 hält das Bundesverwaltungsgericht betreffend Afghanistan fest, insbesondere bei den Entfüh­rungen, deren Zahl im Vergleich zu den vergangenen Jahren stark ange­stiegen sei, arbeiteten die kriminellen Banden mit den Aufständischen und oftmals auch mit korrupten Polizisten zusammen. Die afghanische Polizei erweise sich bisher als unfähig oder nicht willens, die Zahl der Entfüh­rungen einzudämmen und wirksam gegen diese Art von organisierter Kriminalität vorzugehen (E. 9.5.3).</w:t>
      </w:r>
    </w:p>
    <w:p>
      <w:r>
        <w:rPr>
          <w:b/>
        </w:rPr>
        <w:t>E. 4.2</w:t>
      </w:r>
    </w:p>
    <w:p>
      <w:r>
        <w:t>Vor diesem Hintergrund erschiene nicht als ausgeschlossen, dass der Beschwerdeführer als Sohn offenbar reicher Eltern tatsächlich Opfer eines solchen Delikts hätte werden können. In Würdigung der Akten erscheint dies in seinem Fall indes als unglaubhaft. Gemäss seinen Aussagen anlässlich der Summarbefragung und der Anhörung verstand er den Dolmetscher jeweils gut. Am Schluss der in zwei Etappen durchgeführten Anhörung bestätigte er unterschriftlich die Vollständigkeit und Richtigkeit der ihm rückübersetzten Aussagen (A 1/10 S. 8; A 12/14 Antwort 2 und S. 13; A 13/7 Antwort 1 und S. 6). Entsprechend muss er sich bei diesen behaften lassen. Sein Erklärungsversuch in der Beschwerde, die ihm vom BFM vorgehaltenen Widersprüche zu Belangen des von ihm angeblich erkannten Entführers seien mutmasslich auf subtile sprachliche Ungereimtheiten zurückzuführen, vermag demzufolge nicht zu überzeugen. Auf die entsprechenden vorinstanzlichen Erwägungen kann verwiesen werden. Auch die Tatsache, dass er im Verlauf der Anhörung die Mittelbeschaffung für die Ausreise ungereimt zu Protokoll gab und betreffend das verkaufte Haus abweichende Angaben machte (A 12/14 Antworten 45 ff.), ist entgegen den wenig überzeugenden Beschwerdevorbringen nicht mit seiner angeblichen vorübergehenden Verwirrtheit erklärbar. Vielmehr erhärtet sich so der Verdacht, es handle sich bei den Vorbringen insgesamt um einen konstruierten Sachverhalt. In Anbetracht der Korruption vor Ort ist sodann kaum nachvollziehbar, dass die Familie des Beschwerdeführers gemäss den Beschwerdevorbringen tatsächlich auf erfolgende effiziente Hilfe durch die kontaktierte Polizei gesetzt haben sollte. Im Weiteren wirken die Schilderungen des Beschwerdeführers zur angeblichen Vorsprache der Entführer bei den Nachbarn ausgesprochen konstruiert und stellen wiederholt blosse Mutmassungen dar (A 12/14 Antworten 70 ff.). Der angebliche Auftritt der Entführer ausgerechnet während der Abwesenheit der Familie wirkt mithin schon aus diesem Grund nicht glaubhaft. Anzufügen ist, dass die Erklärung des Beschwerdeführers, weshalb die Polizei schon vor der Anzeige von der angeblichen Entführung gewusst haben soll, wiederum stereotyp erscheint (A 12/14 Antwort 60). Ausserdem finden sich in den Anhörungsprotokollen gemäss den wiederum zutreffenden vorinstanzlichen Erwägungen kaum Realkennzeichen, welche die vorgebrachte Entführung als tatsächlich erfolgt erscheinen lassen würden. Namentlich auch auf Nachfragen war der Beschwerdeführer nicht in der Lage, den Eindruck von wirklich Erlebtem zu vermitteln (A 12/14 Antworten 25 ff). Bei einer weiteren Schilderung (zur Vermummung eines Entführers) machte er einen Bezug zu Fernsehbildern (A 12/14 Antwort 51). Nach dem Gesagten kann die angebliche Entführung verbunden mit Nachstellungen der Täter vor der Ausreise mithin nicht geglaubt werden. An dieser Einschätzung vermögen allfällige Narben im Handbereich des Beschwerdeführers nichts zu ändern, da verschiedene Ursachen solcher Verletzungen in Frage kommen. Auch die am 26. Januar 2009 eingereichte Bestätigung aus Kabul, worin eine Behörde, die Nachbarn und Ladenbesitzer das Vorgefallene bestätigen sollen, vermag in Anbetracht des äusserst fraglichen Beweiswerts dieses (Gefälligkeits-)Dokuments zu keiner anderen Sichtweise zu führen. Schliesslich legt der Beschwerdeführer im Schreiben vom 26. Juli 2010 erneut seine persönliche Situation und die aktuelle Lage vor Ort dar. An der festgestellten Unglaubhaftigkeit der angeblich persönlich erlittenen Nachteile vermag es nach dem Gesagten indes offensichtlich nichts zu ändern.</w:t>
      </w:r>
    </w:p>
    <w:p>
      <w:r>
        <w:rPr>
          <w:b/>
        </w:rPr>
        <w:t>E. 4.3</w:t>
      </w:r>
    </w:p>
    <w:p>
      <w:r>
        <w:t>Unter Berücksichtigung der gesamten Umstände folgt, dass der Be­schwerdeführer keine Gründe nach Art. 3 AsylG nachweisen oder glaub­haft machen konnte. Die Vorinstanz hat die Flüchtlingseigen­schaft dem­nach zu Recht verneint und das Asylgesuch abgelehnt. An dieser Einschät­zung vermögen weder die weiteren Ausführungen in der Eingabe noch die beigelegten Beweismittel etwas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gemäss vorstehenden Erwägungen nicht gelungen. Auch die allgemeine Menschenrechtssituation in Kabul lässt den Wegweisungsvollzug zum heutigen Zeitpunkt nicht als generell unzulässig erscheinen. Dies ergibt sich unter anderem aus dem bereits zitierten BVGE E-7625/2008.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Im erwähnten Urteil BVGE E-7625/2008 vom 16. Juni 2011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bestehen, dass die Situation als existenzbedrohend im Sinne von Art. 83 Abs. 4 AuG zu qualifizieren ist.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Im Übrigen betone auch der schweizerische Botschafter in Islamabad die vorrangige Bedeutung eines tragfähigen sozialen Netzes für einen Rückkehrer zur Vermeidung unüberbrückbarer Schwierigkeiten (vgl. E. 9.3 ff.).</w:t>
      </w:r>
    </w:p>
    <w:p>
      <w:r>
        <w:rPr>
          <w:b/>
        </w:rPr>
        <w:t>E. 6.4.2</w:t>
      </w:r>
    </w:p>
    <w:p>
      <w:r>
        <w:t>Der Beschwerdeführer stammt offensichtlich aus einer vermögenden Familie und lebte in Kabul (A 12/14 Antwort 44). Da er die angebliche Entführung verbunden mit ruinösen Lösegeldforderungen nicht glaubhaft machen konnte, darf nach wie vor von einem finanziellen Rückhalt in der Familie ausgegangen werden. Der Vater als Geschäftsmann besitzt offenbar mehrere Häuser. Der Beschwerdeführer ist jung, verfügt über Kenntnisse mehrerer Sprachen und eine überdurchschnittliche Schulbildung. Die Akten lassen keine behandlungsbedürftigen Krankheiten erkennen. Auch in Anbetracht der geschilderten Situation in der Hauptstadt erscheint der Vollzug nach Kabul im vorliegenden Einzelfall mithin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VwVG). Da das Gesuch im Sinne von Art. 65 Abs. 1 VwVG mit Zwischenverfügung vom 7. Januar 2009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