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D-812/2009 vom 19. September 2011</w:t>
      </w:r>
    </w:p>
    <w:p>
      <w:r>
        <w:t>Bundesverwaltungsgericht, 2011-09-19, DE</w:t>
      </w:r>
    </w:p>
    <w:p>
      <w:r>
        <w:rPr>
          <w:b/>
        </w:rPr>
        <w:t xml:space="preserve">Quelle: </w:t>
      </w:r>
      <w:r>
        <w:t>https://mcp.opencaselaw.ch/entscheid/bvger_D-812_2009</w:t>
      </w:r>
    </w:p>
    <w:p>
      <w:r>
        <w:t>FR: TAF D-812/2009 du 19 septembre 2011</w:t>
      </w:r>
    </w:p>
    <w:p>
      <w:r>
        <w:t>IT: TAF D-812/2009 del 19 settembre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w:t>
      </w:r>
    </w:p>
    <w:p>
      <w:r>
        <w:rPr>
          <w:b/>
        </w:rPr>
        <w:t>E. 2.2</w:t>
      </w:r>
    </w:p>
    <w:p>
      <w:r>
        <w:t>Auf die frist- und formgerecht eingereichte Beschwerde (Art. 108 Abs. 2 AsylG; Art. 105 AsylG i. V. m. Art. 37 VGG und Art. 52 Abs. 1 VwVG) ist einzutreten.</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Das BFM trat auf das Asylgesuch des Beschwerdeführers mit der Be­gründung nicht ein, der Beschwerdeführer habe den Asylbehörden inner­halb der eingeräumten Frist von 48 Stunden keine Reise- oder Identitätspapiere abgegeben. Zur Frage, ob der Beschwerdeführer ent­schuldbare Gründe im Sinne von Art. 32 Abs. 3 Bst. a AsylG glaubhaft machen kann, führte das BFM aus, dass grundsätzlich davon auszuge­hen sei, dass der (...)-jährige Beschwerdeführer über einen relevanten Identitätsausweis verfüge. Er habe im Verlauf des Asylverfahrens eine irakische Identitätskarte eingereicht, ausgestellt in Y._______ am (...). Auf dieser fehlten aber die für solche Dokumente üblichen Sicher­heitsmerkmale; im Weiteren sei "ein behördlicher Einträge" nicht in jener Art vorgenommen worden, in welcher er in echten irakischen Identitätskarten vorgenommen werde. Das eingereichte Dokument sei aufgrund dieser Unstimmigkeiten nicht authentisch. Im Weiteren habe der Beschwerdeführer erklärt, er sei mit einem echten Pass aus dem Irak ausgereist, habe diesen aber in der Türkei weggeworfen, was nicht nachvollziehbar sei, zumal dem Beschwerdeführer hätte bewusst sein müssen, dass er sich im Rahmen seines bevorstehenden Asylverfahrens auszuweisen habe. Aufgrund dieser Unstimmigkeiten sei davon auszuge­hen, dass der Beschwerdeführer über einen relevanten Identitätsausweis verfüge, aber davon absehe, diesen dem BFM abzugeben.</w:t>
      </w:r>
    </w:p>
    <w:p>
      <w:r>
        <w:rPr>
          <w:b/>
        </w:rPr>
        <w:t>E. 4.2</w:t>
      </w:r>
    </w:p>
    <w:p>
      <w:r>
        <w:t>Der Beschwerdeführer macht demgegenüber geltend, es sei aufgrund der Akten offensichtlich, dass er aus X._______ komme, weshalb der Vollzug der Wegweisung nicht zumutbar sei. Dass im vorliegenden Fall ein Nichteintretensentscheid nicht gerechtfertigt sei, sei zudem vom an der Anhörung anwesenden Hilfswerkvertreter festgehalten worden. In der Annahme, die dem BFM zugestellte Identitätskarte sei genügend, habe er bis zum Entscheid des BFM weitere Bemühungen zum Erhalt von ande­ren Identitätsdokumenten unterlassen. Nun habe er zwecks Erhalts sei­nes Soyat Kayit - ein Dokument, welches sämtliche Identitätsmerkmale des Inhabers beinhalte und aufgrund derer dann die Identitätskarte ausgestellt werde - mit seiner Familie Kontakt aufgenommen. Die Familie habe in der Zwischenzeit bei den lokalen Behörden das genannte Doku­ment in Original erhalten können. Der Umstand, dass er in der Annahme, bei seiner Identitätskarte handle es sich um ein ausreichendes Identitätsdokument, keine weiteren Schritte zum Erhalt weiterer Dokumente unternommen habe, und er mit seiner Familie zwecks Erhalt eines Soyat Kayit erst in Kontakt getreten sei, nachdem er mit Erhalt des an­gefochtenen Entscheides erfahren habe, dass das BFM seine Identitäts­karte als nicht authentisch einstufe, sei entschuldbar.</w:t>
      </w:r>
    </w:p>
    <w:p>
      <w:r>
        <w:rPr>
          <w:b/>
        </w:rPr>
        <w:t>E. 5.1</w:t>
      </w:r>
    </w:p>
    <w:p>
      <w:r>
        <w:t>Der Beschwerdeführer hat bei der Einreichung seines Asylgesuchs im EVZ Kreuzlingen am 7. Dezember 2008 keine Reise- oder Identitätspapiere abgegeben. Auch in den folgenden 48 Stunden hat er kein entsprechendes Dokument eingereicht. Damit ist die Nichtabgabe von Reise- und Identitätspapieren innert 48 Stunden ab Einreichung des Asylgesuchs als Grundtatbestand für die Anwendung von Art. 32 Abs. 2 Bst. a AsylG gegeben.</w:t>
      </w:r>
    </w:p>
    <w:p>
      <w:r>
        <w:rPr>
          <w:b/>
        </w:rPr>
        <w:t>E. 5.2</w:t>
      </w:r>
    </w:p>
    <w:p>
      <w:r>
        <w:t>Bei der Befragung im EVZ am 11. Dezember 2008 gab der Beschwerdeführer betreffend Besitz von Ausweispapieren an, er habe einen regulären Pass besessen, der Anfang Oktober 2008 in Bagdad ausge­stellt worden sei und noch bis Oktober 2016 gültig wäre. Er sei mit die­sem Pass, welcher mit einem Touristenvisum versehen gewesen sei, wel­ches ihm Anfang November 2008 von der türkischen Vertretung in X._______ ausgestellt worden sei, in die Türkei gereist. Dort habe ihn der Schlepper aufgefordert, den Pass wegzuwerfen. Er habe zudem im Sommer 2006 eine Identitätskarte in Y._______ ausstellen lassen, welche er bei der Mutter im Irak zurückgelassen habe. Einen Nationalitätenausweis habe er nie gehabt. Auf die Frage, warum er der Aufforderung Identitätsdokumente abzugeben, nicht nachgekommen sei, erklärte er, er habe seit er in der Schweiz sei, keinen Kontakt mit seiner Mutter gehabt, da er kein Geld gehabt habe, um sie anzurufen. In der Türkei habe er noch Kontakt mit ihr gehabt. Er habe aber zur Kenntnis genommen, dass er Ausweispapiere beschaffen solle (vgl. act. A1/11 S. 4-6). Als er sieben Tage nach der Befragung im EVZ und elf Tag nach der Einreise anlässlich der Anhörung am 18. Dezember 2008 erneut gefragt wurde, ob er Doku­mente oder Ausweispapiere abzugeben habe, verneinte der Beschwerdeführer die Frage, fügte jedoch an, seine Angehörigen hätten seine Identitätskarte geschickt, er habe diese aber noch nicht erhalten (vgl. act. A9/13 S. 3 F4 f.). Am 6. Januar 2009 stellte der Beschwerdefüh­rer die Identitätskarte dem BFM über die Thurgauer Rechtsberatungs­stelle zu.</w:t>
      </w:r>
    </w:p>
    <w:p>
      <w:r>
        <w:rPr>
          <w:b/>
        </w:rPr>
        <w:t>E. 5.3.1</w:t>
      </w:r>
    </w:p>
    <w:p>
      <w:r>
        <w:t>Entschuldbare Gründe im Sinne von Art. 32 Abs. 3 Bst. a AsylG lie­gen grundsätzlich dann vor, wenn dem Umstand, dass die asylsuchende Person nicht in der Lage ist, innerhalb von 48 Stunden Reise- oder Identi­tätspapiere abzugeben, nicht die Absicht zugrunde liegt, den Aufenthalt in der Schweiz unrechtmässig zu verlängern. Vermag die asylsuchende Person glaubhaft darzutun, dass sie beispielsweise deshalb nicht in der Lage ist, Reise- oder Identitätspapiere innerhalb von 48 Stunden seit Einreichung des Gesuchs abzugeben, weil sie ihre Reise- oder Identitätspapiere im Heimatstaat zurückgelassen hat, und bemüht sie sich umgehend und ernsthaft um deren Beschaffung innert angemessener Frist, ist die Anwendung von Art. 32 Abs. 2 Bst. a AsylG ausgeschlossen (vgl. BVGE 2010/2 E. 5.6 und E. 6).</w:t>
      </w:r>
    </w:p>
    <w:p>
      <w:r>
        <w:rPr>
          <w:b/>
        </w:rPr>
        <w:t>E. 5.3.2</w:t>
      </w:r>
    </w:p>
    <w:p>
      <w:r>
        <w:t>Der Beschwerdeführer vermochte anlässlich der Befragung im EVZ seinen Reiseweg, welcher ihn vom Irak in die Türkei und schliesslich ab Istanbul in einem LKW in die Schweiz führte, anschaulich und plausibel zu beschreiben (vgl. act. A1/11 S. 8). Das BFM unterstellt zwar, es sei nicht nachvollziehbar, dass der Beschwerdeführer seinen Pass in der Tür­kei weggeworden habe, da ihm bewusst gewesen sein musste, dass er sich im Rahmen seines bevorstehenden Asylverfahrens auszuweisen ha­ben wird. Es ist jedoch eine Tatsache, dass Schlepper ihrer "Kundschaft" häufig dazu drängen, Identitätspapiere zu entsorgen oder dieser die vorhandenen Reisepapiere abnehmen. Vor diesem Hintergrund ist die Darstellung des Beschwerdeführers, wonach er seinen Pass in der Türkei weggeworfen habe, nachdem ihn der Schlepper dazu aufgefordert habe, durchaus nicht realitätsfremd. Realistischerweise muss zudem angenom­men werden, dass der Beschwerdeführer in einem Abhängigkeitsverhält­nis zum Schlepper stand, und er - um seine Weiterreise nicht zu gefähr­den - in seiner Entscheidung, der Anweisungen des Schleppers Folge zu leisten oder nicht, nicht frei war. Es ist deshalb nachvollziehbar und inso­fern entschuldbar, wenn er der Aufforderung des Schleppers, den Pass wegzuwerfen, nachgekommen ist. Ferner ist davon auszugehen, dass die vom Beschwerdeführer zurückgelegte Reise ab der Türkei ohne Reisepa­piere - insbesondere mit Hilfe von Schleppern - tatsächlich in der von ihm beschriebenen Art und Weise zurückgelegt werden kann, ohne dabei kontrolliert zu werden. Hierfür spricht insbesondere auch, dass er von kei­ner europäischen Behörde angehalten und daktyloskopiert worden ist. Aufgrund der Angaben des Beschwerdeführers ist deshalb entgegen der Auffassung des BFM davon auszugehen, dass er zum Zeitpunkt der Ein­reise in die Schweiz tatsächlich keine authentischen Reise- oder Identitätspapiere mehr auf sich getragen hat, die er innerhalb von 48 Stunden seit Einreichung des Asylgesuchs hätte abgeben können.</w:t>
      </w:r>
    </w:p>
    <w:p>
      <w:r>
        <w:rPr>
          <w:b/>
        </w:rPr>
        <w:t>E. 5.3.3</w:t>
      </w:r>
    </w:p>
    <w:p>
      <w:r>
        <w:t>Anlässlich der Befragung im EVZ am 11. Dezember 2008 nahm der Beschwerdeführer zur Kenntnis, dass er Ausweispapiere beschaffen soll (vgl. act. A1/11 S. 6). An der Anhörung am 18. Dezember 2008 erklärte er, er habe mit seiner Mutter darüber gesprochen. Sie habe die Identitäts­karte abgeschickt. Er habe sie aber noch nicht erhalten (vgl. act. A9/13 S. 3 f. F4 und F18). Gemäss dem beim BFM eingereichten Briefumschlag wurde die Identitätskarte umgehend, das heisst vier Tage nach der Anhö­rung (Poststempel vom 22. Dezember 2008), in W._______ der Post überge­ben und ins EVZ Kreuzlingen geschickt. Diese Identitätskarte beurteilte das BFM in der angefochtenen Verfügung als nicht authentisch. 5.4.1. Das rechtliche Gehör, welches in Art. 29 Abs. 2 der Bundeverfas­sung der Schweizerischen Eidgenossenschaft vom 18. April 1999 (BV, SR 101)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betroffenen Person nicht vorgängig äussern und diesbezüglich Beweis führen konnte. 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Entscheidungen und Mitteilungen der Schweizerischen Asylrekurskommission [EMARK] 1994 Nr. 1 E. 3a S. 8 f.).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eintscheidwesentlich sein kann. Daraus resultiert die Pflicht, Abklärungen, Befragungen, Zeugeneinvernahmen und Verhandlungen zu protokollieren, diese zu den Akten zu nehmen und aufzubewahren (BGE 130 II 473 E. 4.2). Die Aktenführung hat geordnet, übersichtlich und vollständig zu sein und es muss ersichtlich sein, wer sie erstellt hat und wie sie zustande gekommen sind (vgl. Marc Häusler / Reto Ferrari-Visca, Das Recht auf Akteneinsicht im Verwaltungs- und Verwaltungsjustiz­verfahren, in Jusletter 8. August 2011 S. 4 f., René Rhinow/Heinrich Koller/Christina Kiss/Daniela Thurnherr/Denise Brühl-Moser, Öffentliches Prozessrecht, 2. Aufl., Basel 2010, Rz. 339 ff.).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28 VwVG sowie zum Ganzen Häusler / Ferrari-Visca, a.a.O. S. 2 mit weiteren Hinweisen).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der Frage des Eintretens auf ein Aslygesuch - eine sorgfältige Begründung verlangt (BVGE 2008/47 E. 3.2 S. 674 f., EMARK 2006 Nr. 24 E. 5.1. S. 256). 5.4.2. Das BFM stellte in der angefochtenen Verfügung fest, die angeblich am (...) in Y._______ ausgestellte Identitätskarte sei aufgrund von Unstimmigkeiten nicht authentisch und zog diese ein. Es führt in seiner Begründung aus, auf der eingereichten Identitätskarte würden die für sol­che Dokumente üblichen Sicherheitsmerkmale fehlen und "ein behördli­cher Einträge" sei nicht in jener Art vorgenommen worden, in welcher er in echten irakischen Identitätskarten vorgenommen werde. In der Begrün­dung lässt es jedoch offen, um was für einen Eintrag es sich handeln und inwiefern dieser falsch sein soll. Aufgrund der Schreibweise "ein behördli­cher Einträge" wird nicht einmal klar, ob nach Ansicht des BFM bloss ein oder aber mehrere inkorrekte Einträge vorhanden sein sollen. 5.4.3. Aus den Akten geht hervor, dass die durch die Thurgauer Rechtsberatungsstelle am 6. Januar 2009 inklusive Briefumschlag übermittelte Identitätskarte des Beschwerdeführers am 7. Januar 2009 beim BFM einging. Ferner ist den Akten zu entnehmen, dass am 28. Januar 2009 - mithin zwei Tage vor Versand der angefochtenen Verfügung - von einen Mitarbeiter des BFM eine Aktennotiz A15/1 verfasst wurde, worin dieser festhielt, dass die eingereicht Identitätskarte, welche angeblich am (...) in Y._______ ausgestellt worden sei, aufgrund dreier unstimmiger Merkmale offensichtlich nicht echt sei. Die Aktennotiz A15/1 wird im Aktenverzeichnis als "interne Akte" mit dem Vermerk "nicht zur Edition" bezeichnet. Das BFM stützte sich in der Verfügung offenbar auf die in der Aktennotiz A15/1 betreffend die Identitätskarte des Beschwerdeführers enthaltenen Informationen. Aufgrund der Bedeutung des Inhalts für den Entscheid, auf das Asylgesuch wegen fehlender Identitätspapiere nicht einzutreten, kann es sich bei der Aktennotiz A15/1 nicht, wie im Aktenverzeichnis vermerkt, um eine "interne Akte" handeln. Die in der Notiz enthaltenen Informationen sind für den Entscheid von solcher Relevanz, dass diese vorbehältlich von Geheimhaltungsinteresse dem Akteneinsichtsrecht unterstehen. Aufgrund der Aktenführungspflicht wäre das BFM zudem gehalten gewe­sen, die Abklärungen zur Authentizität der Identitätskarte in den Akten so zu dokumentieren, dass jederzeit nachvollzogen werden kann, wie das BFM zu seinen diesbezüglichen Erkenntnissen gelangt ist. Aus der Aktennotiz A/15/1 geht indessen nicht hervor, wie der Mitarbeiter des BFM an die von ihm festgehaltenen Informationen gelangt ist und auf­grund welcher Erkenntnisse diese ihrerseits zustande gekommen sind. Da dies aus der Aktennotiz A15/1 nicht hervorgeht, hat das BFM die Aktenführungspflicht verletzt. 5.4.4. Darüber hinaus hat es das BFM unterlassen, dem Beschwerdefüh­rer vor dem Erlass der Verfügung Gelegenheit zu geben, sich zu den in der Aktennotiz A15/1 festgehaltenen Fälschungsmerkmalen seiner Identi­tätskarte zu äussern. Der Umstand, dass bei einer vollständigen Offenle­gung aller Einzelheiten von behördlichen Fälschungserkenntnissen gewisser Dokumente deren missbräuchliche Verwendung durch den Ge­suchsteller oder Dritte zu befürchten ist, kann zwar rechtfertigen, die Ein­sicht in ein Aktenstück ganz oder teilweise zu verweigern (vgl. EMARK 1994 Nr. 1 E. 4c). Da das BFM in seiner Verfügung jedoch zum Nachteil des Beschwerdeführers gestützt auf die in der Aktennotiz A15/1 enthalte­nen Informationen davon ausgeht, die eingereichte Identitätskarte sei nicht authentisch, wäre es gemäss Art. 28 VwVG gehalten gewesen, den Beschwerdeführer über die festgestellten Fälschungsmerkmale in einer Art und Weise in Kenntnis zu setzen, welche es ihm ermöglicht, vor Er­lass der Verfügung konkret Einwände gegen die vom BFM in Bezug auf die Identitätskarte gewonnen Erkenntnisse und die daraus gezogenen Schlussfolgerungen anzubringen. Indem das BFM dies unterlassen hat, hat es den Anspruch des Beschwerdeführers auf rechtliches Gehör ge­mäss Art. 30 Abs. 1 und Art. 28 VwVG verletzt. 5.4.5. Wie bereits festgehalten (vgl. E. 5.4.2), wird in den Akten des BFM nicht dokumentiert, wie der Mitarbeiter an die von ihm in der Aktennotiz A15/1 festgehaltenen Informationen betreffend die Identitätskarte des Be­schwerdeführers gelangt ist und aufgrund welcher Erkenntnisse diese ihrerseits zustande gekommen sind. Auch in der angefochtenen Verfü­gung schweigt sich das BFM diesbezüglich aus. Die Begründung der Verfügung lässt deshalb - auch für das Bundesverwaltungsgericht - nicht hinreichend nachvollziehbar erkennen, aus welchen Gründen das BFM zur Feststellung gelangt ist, die Identitätskarte sei nicht authentisch. Bei den vom BFM in der Verfügung bezüglich der Identitätskarte festgestell­ten Unstimmigkeiten handelt es sich daher letztlich um nicht nachvollzieh­bare Behauptungen, zumal auch offen gelassen wird, welcher behördli­che Eintrag auf der Identitätskarte nicht korrekt vorgenommen worden sein soll. Das BFM hat insofern auch die ihm obliegende Begründungs­pflicht verletzt.</w:t>
      </w:r>
    </w:p>
    <w:p>
      <w:r>
        <w:rPr>
          <w:b/>
        </w:rPr>
        <w:t>E. 5.5</w:t>
      </w:r>
    </w:p>
    <w:p>
      <w:r>
        <w:t>Zusammenfassend ist festzustellen, dass das BFM den Anspruch des Beschwerdeführers auf rechtliches Gehör mehrfach verletzt hat, in­dem es ihm nicht zur Kenntnis brachte, dass und weshalb es seine Identi­tätskarte als nicht authentisch erachtet und ihm keine Gelegenheit bot, sich vorgängig dazu zu äussern, und indem es seiner Aktenführungs- und Begründungspflicht nicht hinreichend nachgekommen ist (vgl. Art. 28, Art. 29, Art. 30 Abs. 1 und Art. 35 VwVG).</w:t>
      </w:r>
    </w:p>
    <w:p>
      <w:r>
        <w:rPr>
          <w:b/>
        </w:rPr>
        <w:t>E. 6</w:t>
      </w:r>
    </w:p>
    <w:p>
      <w:r>
        <w:t>Eine Verletzung des Anspruchs auf rechtliches Gehör führt grundsätzlich zur Aufhebung der angefochtenen Verfügung ohne Rücksicht darauf, ob diese bei korrekter Verfahrensführung im Ergebnis anders ausgefallen wäre, und sie wird von Amtes wegen als Kassationsgrund berücksichtigt, wenn die Mängel schwerwiegend sind und eine vernünftige Prozesserledigung in der Rechtsmittelinstanz verunmöglichen (vgl. BVGE 2009/53 E. 7.3 S. 773, BVGE 2008/47 E. 3.3.4 S. 676 f., BVGE 2008/14 E. 4.1 S. 185). Aufgrund der umfassenden Kognition des Bundesverwaltungsgerichts im Asylbeschwerdeverfahren (vgl. Art. 106 AsylG) kann die Verletzung des Anspruchs auf rechtliches Gehör in bestimmten Schranken geheilt wer­den (vgl. BVGE 2009/53 E. 7.3 S. 773 mit weiteren Hinweisen). Im vorlie­genden Fall ist die mehrfache Verletzung des rechtlichen Gehörs seitens des BFM als schwerwiegend zu bezeichnen. Es ist zudem nicht Aufgabe des Bundesverwaltungsgerichts, Versäumnisse des Bundesamtes auf Beschwerdeebene systematisch zu beheben und damit die Vorinstanz gleichsam von einer sorgfältigen Verfahrensführung zu entbinden, zumal den Beschwerdeführenden durch ein solches Vorgehen eine Instanz verloren ginge. Eine Heilung der festgestellten Mängel in der angefochtenen Verfügung fällt deshalb nicht in Betracht.</w:t>
      </w:r>
    </w:p>
    <w:p>
      <w:r>
        <w:rPr>
          <w:b/>
        </w:rPr>
        <w:t>E. 7</w:t>
      </w:r>
    </w:p>
    <w:p>
      <w:r>
        <w:t>Zusammenfassend ist festzuhalten, dass die Vorinstanz den Anspruch auf rechtliches Gehör des Beschwerdeführers in mehrfacher Weise ver­letzt hat. Eine Heilung dieser Mängel im Rahmen des Beschwerdeverfah­rens ist nicht angebracht. Die Beschwerde ist daher gutzuheissen, die an­gefochtene Verfügung vom 30. Januar 2009 aufzuheben und die Sache zur Neubeurteilung an das BFM zurückzuweisen.</w:t>
      </w:r>
    </w:p>
    <w:p>
      <w:r>
        <w:rPr>
          <w:b/>
        </w:rPr>
        <w:t>E. 8.1</w:t>
      </w:r>
    </w:p>
    <w:p>
      <w:r>
        <w:t>Bei diesem Ausgang des Verfahrens sind keine Verfahrenskosten aufzuerlegen (Art. 63 Abs. 1 und 2 VwVG). Das Gesuch um Gewährung der unentgeltlichen Rechtspflege gemäss Art. 65 Abs. 1 VwVG erweist sich mithin als gegenstandslos.</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aus einer Vertretung entstanden (vgl. Art. 9 Abs. 1 VGKE). Weitere notwendige und verhältnismässig hohe Auslagen (vgl. Art. 13 VGKE), die dem Beschwerdeführer erwachsen sein könnten, sind aufgrund der Akten nicht ersichtlich. Folglich ist ihm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