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D-8126/2007 vom 9. Juni 2008</w:t>
      </w:r>
    </w:p>
    <w:p>
      <w:r>
        <w:t>Bundesverwaltungsgericht, 2008-06-09, DE</w:t>
      </w:r>
    </w:p>
    <w:p>
      <w:r>
        <w:rPr>
          <w:b/>
        </w:rPr>
        <w:t xml:space="preserve">Quelle: </w:t>
      </w:r>
      <w:r>
        <w:t>https://mcp.opencaselaw.ch/entscheid/bvger_D-8126_2007</w:t>
      </w:r>
    </w:p>
    <w:p>
      <w:r>
        <w:t>FR: TAF D-8126/2007 du 9 juin 2008</w:t>
      </w:r>
    </w:p>
    <w:p>
      <w:r>
        <w:t>IT: TAF D-8126/2007 del 9 giugno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Der Beschwerdeführer rügt in seiner Beschwerde eine Verletzung des rechtlichen Gehörs. Mit Eingabe vom 20. November 2007 habe der Rechtsvertreter Akteneinsicht, insbesondere auch Einsicht in diejenigen Akten beantragt, die dem Beschwerdeführer bereits zugestellt oder die vom Beschwerdeführer selber eingereicht worden waren. Auf Beschwerdeebene wurde beanstandet, die Akten (...) seien zu Unrecht von der Vorinstanz nicht ediert worden.</w:t>
      </w:r>
    </w:p>
    <w:p>
      <w:r>
        <w:rPr>
          <w:b/>
        </w:rPr>
        <w:t>E. 2.3</w:t>
      </w:r>
    </w:p>
    <w:p>
      <w:r>
        <w:t>Das Recht auf Akteneinsicht ist nicht absolut (BGE 122 I 153 E. 6a S. 161, mit Hinweisen). Es erstreckt sich lediglich auf die für den Entscheid wesentlichen Unterlagen, das heisst auf jene, die Grundlage des Entscheides bilden (BGE 121 I 225 E. 2a S. 227, mit Hinweisen). Nach der Praxis des Bundesgerichts und des Eidgenössischen Versicherungsgerichts besteht weder nach der Akteneinsichtsordnung des VwVG noch auf Grund des verfassungsmässigen Mindestschutzes gemäss Art. 29 Abs. 2 der Bundesverfassung der Schweizerischen Eidgenossenschaft vom 18. April 1999 (BV, SR 101) ein Anspruch auf Einsicht in verwaltungsinterne Akten (vgl. Urteil des Bundesgerichts vom 17. Februar 2005 i.S. X, 1A.19/2005, E. 14.2; Urteil des Bundesgerichts vom 1. Oktober 2004 i.S. Swisscom und andere, 2A.58712003, E. 7.3; BGE 125 II 473 E. 4a S. 474 f., mit Hinweis auf BGE 115 V 297 E. 2g S. 303 ff.). Als verwaltungsinterne Akten gelten dabei Unterlagen, denen für die Behandlung eines Falles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an die Öffentlichkeit ausgebreitet wird. Die ARK hatte sich in konstanter Praxis an diese Rechtsprechung angelehnt (vgl. Entscheidungen und Mitteilungen der Schweizerischen Asylrekurskommission [EMARK] 1994 Nr. 26 E. 2d.aa S. 192). Das Bundesverwaltungsgericht sieht keinen Anlass, generell und im vorliegenden Fall von dieser Praxis abzuweichen. Das Bundesamt und das Bundesverwaltungsgericht sind deshalb berechtigt, jene Bestandteile des Dossiers, die für das vorliegende Verfahren unerheblich sind oder in deren Besitz sich eine Partei bereits befindet, von der Akteneinsicht auszunehmen. Dies betrifft namentlich zum internen Gebrauch bestimmte Arbeitsunterlagen des Bundesamtes und die Korrespondenz mit dem Rechtsvertreter des Beschwerdeführers (siehe in diesem Zusammenhang das nicht publizierte Urteil des BGer. vom 9. September 1999, 1A.149/1999 E. 4b zitiert im Urteil des BGer. vom 17. Februar 2005 i.S. X, 1A.19/2005). Einsicht in überflüssige Unterlagen oder solche, die nicht die Beschwerdeführer betreffen, darf abgelehnt werden (vgl. Robert Zimmermann, La coopération judiciaire internationale en matière pénale, 2. Aufl., Bern 2004, S. 312). .</w:t>
      </w:r>
    </w:p>
    <w:p>
      <w:r>
        <w:rPr>
          <w:b/>
        </w:rPr>
        <w:t>E. 2.4</w:t>
      </w:r>
    </w:p>
    <w:p>
      <w:r>
        <w:t>Mit Instruktionsverfügung vom 4. Dezember 2007 wurde dem Beschwerdeführer antragsgemäss Einsicht in die Akten (...) gewährt. In die Akten (...) wurde keine Einsicht gewährt, da sie interne Aktenstücke ohne jegliche Relevanz betrafen, was dem Beschwerdeführer mitgeteilt wurde.</w:t>
      </w:r>
    </w:p>
    <w:p>
      <w:r>
        <w:rPr>
          <w:b/>
        </w:rPr>
        <w:t>E. 2.5</w:t>
      </w:r>
    </w:p>
    <w:p>
      <w:r>
        <w:t>Da die genannten Akten nicht alle unter die Bestimmungen von Art. 26 und 27 VwVG fallen, wurde durch die Verweigerung der Herausgabe das rechtliche Gehör verletzt. Mit Zwischenverfügung vom 4. Dezember 2007 wurden dem Beschwerdeführer die vorgenannten Akten zugestellt und er wurde in Kenntnis über Wesen und Inhalt der ebenfalls oben genannten nicht zu editierenden Aktenstücke versetzt. Zudem sind die genannten Akten für den Ausgang des vorliegenden Verfahrens von keinerlei Bedeutung. Die Verletzung des Anspruchs auf Gewährung des rechtlichen Gehörs ist damit als geheilt zu betrachten.</w:t>
      </w:r>
    </w:p>
    <w:p>
      <w:r>
        <w:rPr>
          <w:b/>
        </w:rPr>
        <w:t>E. 2.6</w:t>
      </w:r>
    </w:p>
    <w:p>
      <w:r>
        <w:t>Das BFM hebt die vorläufige Aufnahme auf und ordnet den Vollzug der Weg- oder Ausweisung an, wenn die Voraussetzungen nicht mehr gegeben sind (Art. 84 Abs. 2 des Bundesgesetzes über die Ausländerinnen und Ausländer vom 16. Dezember 2005 [AuG, SR142.20]).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w:t>
      </w:r>
    </w:p>
    <w:p>
      <w:r>
        <w:rPr>
          <w:b/>
        </w:rPr>
        <w:t>E. 3.1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3.1.1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3.1.2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3.1.3</w:t>
      </w:r>
    </w:p>
    <w:p>
      <w:r>
        <w:t>Die Vorinstanz wies in ihrer angefochtenen Verfügung zutreffend darauf hin, dass der Grundsatz der Nichtrückschiebung nur Personen schützt, die die Flüchtlingseigenschaft erfüllen (vgl. Mario Gattiker, Das Asyl und Wegweisungsverfahren, 3. Aufl., Bern 1999, S. 89). Da mit Verfügung vom 16. November 2004 rechtskräftig festgestellt wurde, dass der Beschwerdeführer die Flüchtlingseigenschaft nicht erfüllt, kann das in Art. 5 AsylG verankerte Prinzip des flüchtlingsrechtlichen Non-Refoulements im vorliegenden Verfahren keine Anwendung finden. Eine Rückkehr des Beschwerdeführers in den Heimatstaat ist demnach unter dem Aspekt von Art. 5 AsylG rechtmässig. Der Beschwerdeführer macht in seiner Beschwerde insbesondere eine individuelle Gefährdung durch den Scheich geltend, welcher seinen Vater ermordet habe.</w:t>
      </w:r>
    </w:p>
    <w:p>
      <w:r>
        <w:rPr>
          <w:b/>
        </w:rPr>
        <w:t>E. 3.1.4</w:t>
      </w:r>
    </w:p>
    <w:p>
      <w:r>
        <w:t>Es ergeben sich aber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was ihm nicht gelungen ist, zumal er weder gesehen haben will, wer seinen Vater erschossen haben soll (vgl. kantonales Protokoll, S. 4) noch Schwierigkeiten mit dem Scheich oder den kurdischen Behörden gehabt haben will noch konkrete Befürchtungen bei einem weiterem Verbleib im Heimatdorf geltend machte (vgl. kantonales Protokoll, S. 6). Zudem brachte der Beschwerdeführer in seiner Stellungnahme vom 25. Oktober 2007 zu der von der Vorinstanz ins Auge gefassten Aufhebung der vorläufigen Aufnahme mit keinem Wort vor, vom fraglichen Scheich Nachstellungen zu befürchten, was den Schluss zulässt, dass die diesbezüglich in der Beschwerde behaupteten Befürchtungen unglaubhaft sind. Bei dieser Sachlage ist es unerheblich, dass die Vorinstanz in der Verfügung vom 16. November 2004 sich nicht abschliessend zur Glaubhaftigkeit der Vorbringen des Beschwerdeführers geäussert hat. Vielmehr ist festzustellen, dass der Beschwerdeführer anlässlich der Kurzbefragung in der Empfangsstelle (heute Empfangszentrum) zu Protokoll gab (vgl. S. 5), bei einer Rückkehr ins Heimatland habe er keine Probleme ausser solchen wirtschaftlicher Natur. Insgesamt sprechen die Aussagen gegen das Risiko einer unter dem Blickwinkel von Art. 3 EMRK konkret drohenden menschenrechtswidrigen Behandlung oder Strafe. Auch die allgemeine Sicherheits- und Menschenrechtslage im kurdischen Nordirak, die in BVGE E-6982/2006 vom 22. Januar 2008 umfassend beurteilt wurde, lässt den Wegweisungsvollzug zum heutigen Zeitpunkt nicht als unzulässig erscheinen. Damit ist auch der entscheidrelevante Sachverhalt als hinreichend erstellt zu erachten, mithin es keiner weiteren Abklärungen bedarf, weshalb das Gesuch um Anhörung von Zeugen, sowie das Gesuch um eine ergänzende Bundesanhörung abzuweisen ist (Art. 33 Abs. 1 VwVG). Nach dem Gesagten ist der Vollzug der Wegweisung sowohl im Sinne der asyl- als auch der völkerrechtlichen Bestimmungen zulässig.</w:t>
      </w:r>
    </w:p>
    <w:p>
      <w:r>
        <w:rPr>
          <w:b/>
        </w:rPr>
        <w:t>E. 3.2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3.2.1</w:t>
      </w:r>
    </w:p>
    <w:p>
      <w:r>
        <w:t>In der angefochtenen Verfügung hielt die Vorinstanz im Wesentlichen fest, in den drei nordirakischen Provinzen Dohuk, Erbil und Sulaymaniya sei die Sicherheitslage stabil. Es könne nicht mehr von einer Situation allgemeiner Gewalt ausgegangen werden. Der Wegweisungsvollzug in diese Provinzen sei daher grundsätzlich zumutbar. Die Tatsache, dass zwischen Juli 2003 und März 2007 477 Personen mit Rückkehrhilfe in den Irak zurückgekehrt seien (davon 84% in den Nordirak) unterstreiche die Feststellungen zur Situation in dieser Region. Der Wegweisungsvollzug sei daher grundsätzlich zumutbar. Schliesslich sei festzustellen, dass sich auch das Amt des Hohen Flüchtlingskommissars der Vereinten Nationen (UNHCR) nicht grundsätzlich gegen Wegweisungen in die genannten Provinzen stelle. Nach Auffassung der Vorinstanz sprechen im vorliegenden Fall auch keine individuellen Gründe gegen die Zumutbarkeit des Wegweisungsvollzugs. Der Beschwerdeführer sei mit 18 Jahren in die Schweiz eingereist, habe also den weitaus grössten Teil seines Lebens in der Provinz Dohuk verbracht und sei mit Sprache, Kultur, Lebens- und Arbeitsweise bestens vertraut. Gemäss eigenen Aussagen verfüge der Beschwerdeführer über Schulbildung und Berufserfahrung. Ausserdem sei er aktenkundig gesund. Somit sei davon auszugehen, dass er auch nach seiner Rückkehr in der Lage sei, die Sicherung seiner Existenz selbständig an die Hand zu nehmen, zudem er vor seiner Ausreise bereits in der Landwirtschaft tätig gewesen sei und so für seinen Unterhalt gesorgt habe. Des Weiteren verfüge er in seinem Heimatland über ein familiäres Beziehungsnetz, welches ihm in der Anfangsphase unterstützend zur Seite stehen könne. Im Übrigen könne er vom Angebot der Rückkehrhilfe Gebrauch machen, welche ihm die Reintegration im Heimatland erleichtern dürfte.</w:t>
      </w:r>
    </w:p>
    <w:p>
      <w:r>
        <w:rPr>
          <w:b/>
        </w:rPr>
        <w:t>E. 3.2.2</w:t>
      </w:r>
    </w:p>
    <w:p>
      <w:r>
        <w:t>Der Beschwerdeführer brachte in seiner Beschwerde und der Stellungnahme vom 25. Oktober 2007 unter anderem vor, die allgemeine Lage im Nordirak würde eine Zumutbarkeit des Wegweisungsvollzugs ausschliessen. Insbesondere die Intervention der Türkei mache die Region sehr unsicher.</w:t>
      </w:r>
    </w:p>
    <w:p>
      <w:r>
        <w:rPr>
          <w:b/>
        </w:rPr>
        <w:t>E. 3.3</w:t>
      </w:r>
    </w:p>
    <w:p>
      <w:r>
        <w:t>Das Bundesverwaltungsgericht ist im zur Publikation vorgesehenen Urteil E-4243/2007 vom 14. März 2008 aufgrund einer umfassenden Beurteilung der aktuellen Situation in den nordirakischen Provinzen Dohuk, Sulaymaniya und Erbil zum Schluss gekommen, dass in den drei kurdischen Provinzen keine Situation allgemeiner Gewalt herrscht und die dortige politische Lage nicht dermassen angespannt ist, als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(vgl. a.a.O. E. 7.5 und insbesondere 7.5.8).</w:t>
      </w:r>
    </w:p>
    <w:p>
      <w:r>
        <w:rPr>
          <w:b/>
        </w:rPr>
        <w:t>E. 3.4</w:t>
      </w:r>
    </w:p>
    <w:p>
      <w:r>
        <w:t>Der Beschwerdeführer stammt aus der Provinz Dohuk, wo er seit seiner Geburt bis zur Ausreise gelebt hat. Zudem arbeitete er eigenen Angaben zufolge in der Landwirtschaft in Dohuk. Angesichts des noch jungen Alters des Beschwerdeführers und seiner beruflichen Erfahrungen im Irak ist davon auszugehen, dass er sich in seiner Heimat in den Arbeitsmarkt wird integrieren können. Bei der Wiedereingliederung werden ihm seine in der Heimat verbliebenen Verwandten behilflich sein können. Die Rückkehrhilfe der Schweiz wird ihm den Wiedereinstieg in seiner Heimat ebenfalls erleichtern können. Schliesslich sind keine weiteren individuellen Gründe ersichtlich, aufgrund derer allenfalls geschlossen werden könnte, der Beschwerdeführer gerate im Falle der Rückkehr in die Heimat in eine existenzbedrohende Situation, weshalb der Vollzug der Wegweisung - übereinstimmend mit dem BFM - als zumutbar zu bezeichnen ist. Die Ausführungen in der Beschwerde vermögen an dieser Einschätzung nichts zu ändern.</w:t>
      </w:r>
    </w:p>
    <w:p>
      <w:r>
        <w:rPr>
          <w:b/>
        </w:rPr>
        <w:t>E. 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6</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und ist mit dem am 18. Dezember 2007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