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D-8125/2015 vom 20. Juni 2017</w:t>
      </w:r>
    </w:p>
    <w:p>
      <w:r>
        <w:t>Bundesverwaltungsgericht, 2017-06-20, FR</w:t>
      </w:r>
    </w:p>
    <w:p>
      <w:r>
        <w:rPr>
          <w:b/>
        </w:rPr>
        <w:t xml:space="preserve">Quelle: </w:t>
      </w:r>
      <w:r>
        <w:t>https://mcp.opencaselaw.ch/entscheid/bvger_D-8125_2015</w:t>
      </w:r>
    </w:p>
    <w:p>
      <w:r>
        <w:t>FR: TAF D-8125/2015 du 20 juin 2017</w:t>
      </w:r>
    </w:p>
    <w:p>
      <w:r>
        <w:t>IT: TAF D-8125/2015 del 20 giugno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A._______ a qualité pour recourir. Présenté dans la forme et le délai prescrits par la loi, le recours est recevable (art. 48 al. 1 et art. 52 al. 1 PA, applicables par renvoi de l'art. 37 LTAF et art. 108 al. 2 LAsi).</w:t>
      </w:r>
    </w:p>
    <w:p>
      <w:r>
        <w:rPr>
          <w:b/>
        </w:rPr>
        <w:t>E. 1.3</w:t>
      </w:r>
    </w:p>
    <w:p>
      <w:r>
        <w:t>Saisi d'un recours contre une décision de non-entrée en matière sur une demande d'asile, le Tribunal se limite à examiner le bien-fondé d'une telle décision (cf. ATAF 2012/4 consid. 2.2; 2009/54 consid. 1.3.3; 2007/8 consid. 5).</w:t>
      </w:r>
    </w:p>
    <w:p>
      <w:r>
        <w:rPr>
          <w:b/>
        </w:rPr>
        <w:t>E. 1.4</w:t>
      </w:r>
    </w:p>
    <w:p>
      <w:r>
        <w:t>Il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8 LAsi)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(cfr. ATAF 2015/41 consid. 3.1).</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Notamment, lorsqu'il est établi que le demandeur a franchi irrégulièrement la frontière d'un Etat membre dans lequel il est entré en venant d'un Etat tiers, cet Etat membre est responsable de l'examen de la demande de protection (cf. art. 13 par. 1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2.3</w:t>
      </w:r>
    </w:p>
    <w:p>
      <w:r>
        <w:t>L'Etat responsable de l'examen d'une demande de protection internationale en vertu du règlement est tenu de prendre en charge - dans les conditions prévues aux art. 21, 22 et 29 - le demandeur qui a introduit une demande dans un autre Etat membre (art. 18 par. 1 let. a du règlement Dublin III).</w:t>
      </w:r>
    </w:p>
    <w:p>
      <w:r>
        <w:rPr>
          <w:b/>
        </w:rPr>
        <w:t>E. 2.4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2.5</w:t>
      </w:r>
    </w:p>
    <w:p>
      <w:r>
        <w:t>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admettre cette responsabilité pour des raisons humanitaires au sens de l'art. 29a al. 3 de l'ordonnance 1 du 11 août 1999 sur l'asile (OA 1, RS 142.311).</w:t>
      </w:r>
    </w:p>
    <w:p>
      <w:r>
        <w:rPr>
          <w:b/>
        </w:rPr>
        <w:t>E. 3.1</w:t>
      </w:r>
    </w:p>
    <w:p>
      <w:r>
        <w:t>En l'espèce, lors de son audition sommaire du (...), A._______ a expliqué qu'il avait été interpellé par les autorités policières à son entrée en Hongrie, que celles-ci l'avaient enregistré et avaient relevé ses empreintes digitales. A noter que l'intéressé dispose d'un document établi par les autorités hongroises duquel il ressort qu'il est entré clandestinement sur leur territoire le (...).</w:t>
      </w:r>
    </w:p>
    <w:p>
      <w:r>
        <w:rPr>
          <w:b/>
        </w:rPr>
        <w:t>E. 3.2</w:t>
      </w:r>
    </w:p>
    <w:p>
      <w:r>
        <w:t>En date du (...), le Secrétariat d'Etat a soumis aux autorités hongroises compétentes, dans le délai fixé à l'art. 21 par. 1 du règlement Dublin III, une requête aux fins de prise en charge de l'intéressé, fondée sur l'art. 13 par. 1 de ce même règlement.</w:t>
      </w:r>
    </w:p>
    <w:p>
      <w:r>
        <w:rPr>
          <w:b/>
        </w:rPr>
        <w:t>E. 3.3</w:t>
      </w:r>
    </w:p>
    <w:p>
      <w:r>
        <w:t>N'ayant pas répondu à cette demande dans le délai prévu à l'art. 22 par. 1 du règlement précité, la Hongrie est réputée l'avoir acceptée et, partant, avoir reconnu sa compétence pour traiter la demande d'asile de l'intéressé (art. 22 par. 7 dudit règlement).</w:t>
      </w:r>
    </w:p>
    <w:p>
      <w:r>
        <w:rPr>
          <w:b/>
        </w:rPr>
        <w:t>E. 3.4</w:t>
      </w:r>
    </w:p>
    <w:p>
      <w:r>
        <w:t>Partant, la responsabilité de la Hongrie pour l'examen de la demande d'asile du recourant est établie.</w:t>
      </w:r>
    </w:p>
    <w:p>
      <w:r>
        <w:rPr>
          <w:b/>
        </w:rPr>
        <w:t>E. 4</w:t>
      </w:r>
    </w:p>
    <w:p>
      <w:r>
        <w:t>Si dans son recours du (...) 2015, A._______ n'a pas contesté la compétence de la Hongrie, il s'est en revanche opposé à son transfert vers ce pays, relevant, notamment, que celui-ci ne respecterait pas toujours le principe de non-refoulement. Par ailleurs, il a relevé que l'accès à la procédure d'asile y était fortement compromis depuis les récentes décisions politiques en matière de migration et que ce pays n'offrait aucune garantie s'agissant d'une procédure équitable et respectueuse des droits fondamentaux. Il a en outre indiqué que, dans son cas particulier, sa prise en charge adéquate en cas de transfert vers la Hongrie n'était pas garantie, qu'il y serait exposé à vivre dans des conditions indignes et risquerait d'être renvoyé dans son pays d'origine sans examen préalable de sa demande d'asile.</w:t>
      </w:r>
    </w:p>
    <w:p>
      <w:r>
        <w:rPr>
          <w:b/>
        </w:rPr>
        <w:t>E. 5.1</w:t>
      </w:r>
    </w:p>
    <w:p>
      <w:r>
        <w:t>Dans un arrêt du 31 mai 2017, rendu en la cause D-7853/2015 (destiné à la publication comme arrêt de référence), le Tribunal a analysé de manière approfondie l'évolution de la situation des requérants d'asile en Hongrie - en particulier ceux transférés en application du règlement Dublin III - depuis l'important flux migratoire auquel a dû faire face ce pays en 2015. Il a constaté l'existence de nombreuses carences dans le système d'asile hongrois, en ce qui concerne notamment l'accès à la procédure d'asile ainsi que l'hébergement des requérants dans les zones de transit. Le Tribunal s'est en particulier penché sur l'entrée en vigueur, le 28 mars 2017, de l'acte T/13976 sur « l'amendement de plusieurs lois concernant le renforcement de la procédure d'asile conduite dans la zone surveillée de la frontière hongroise ». Il a relevé que la mise en oeuvre de cet acte, lequel implique un durcissement significatif de la législation hongroise en matière d'asile, et est en outre applicable à toutes les procédures d'asile en cours, compte tenu de son effet rétroactif, entraîne de nombreuse incertitudes et interrogations quant à son application concrète. Il ne peut ainsi notamment pas être déterminé avec certitude si, suite à un transfert vers la Hongrie, les demandeurs d'asile seront considérés comme des clandestins, et donc transférés en zones dites de pré-transit, ou en tant que requérants dont la demande serait examinée en zone de transit. Le Tribunal est dès lors arrivé à la conclusion, qu'au vu des nombreuses incertitudes causées par ce récent changement législatif, liées tant à l'accès à la procédure, qu'aux conditions d'accueil, il ne lui était, en l'état, pas possible de se prononcer sur l'existence de défaillances systémiques, au sens de l'art. 3 par. 2 du règlement Dublin III, ou sur les questions liées aux risques réels (« real risk »), auxquels pourraient faire face les requérants d'asile en cas de transfert vers la Hongrie. En conséquence, il a annulé la décision attaquée et renvoyé l'affaire au SEM pour nouvelle décision, estimant qu'il incombait à l'autorité de première instance de réunir tous les éléments de fait utiles permettant de trancher ces questions essentielles. A cet égard, il a souligné qu'il ne revenait pas à l'autorité de recours de procéder à des investigations complémentaires complexes et que statuer, en l'état, sur le recours outrepasserait ses compétences, au risque de priver la partie de la double instance (cf. en particulier le consid. 13 de l'arrêt).</w:t>
      </w:r>
    </w:p>
    <w:p>
      <w:r>
        <w:rPr>
          <w:b/>
        </w:rPr>
        <w:t>E. 5.2</w:t>
      </w:r>
    </w:p>
    <w:p>
      <w:r>
        <w:t>Au vu de ce qui précède et pour les mêmes motifs que ceux exposés dans l'arrêt mentionné ci-avant, le Tribunal n'est pas en mesure de statuer sur le recours du (...) 2015 interjeté contre la décision entreprise.</w:t>
      </w:r>
    </w:p>
    <w:p>
      <w:r>
        <w:rPr>
          <w:b/>
        </w:rPr>
        <w:t>E. 5.3</w:t>
      </w:r>
    </w:p>
    <w:p>
      <w:r>
        <w:t>Par conséquent,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6.1</w:t>
      </w:r>
    </w:p>
    <w:p>
      <w:r>
        <w:t>L'assistance judiciaire partielle ayant été octroyée par décision incidente du (...) 2015 et l'intéressé ayant eu gain de cause, il n'est pas perçu de frais de procédure (art. 63 al. 3 et 65 al. 1 PA).</w:t>
      </w:r>
    </w:p>
    <w:p>
      <w:r>
        <w:rPr>
          <w:b/>
        </w:rPr>
        <w:t>E. 6.2</w:t>
      </w:r>
    </w:p>
    <w:p>
      <w:r>
        <w:t>Quant au SEM, il ne doit pas, en tant qu'autorité inférieure, prendre à charge des frais de procédure (cf. art. 63 al. 2 PA).</w:t>
      </w:r>
    </w:p>
    <w:p>
      <w:r>
        <w:rPr>
          <w:b/>
        </w:rPr>
        <w:t>E. 6.3</w:t>
      </w:r>
    </w:p>
    <w:p>
      <w:r>
        <w:t>En revanche, il doit verser une indemnité à titre de dépens au recourant qui est représenté dans la présente procédure (cf. art. 64 PA). Conformément aux art. 8 à 11 du règlement du 21 février 2008 concernant les frais, dépens et indemnités fixés par le Tribunal administratif fédéral (FITAF, RS 173.320.2), applicables par analogie conformément à l'art. 12 FITAF, et en l'absence d'une note de frais, l'indemnité à titre de dépens est en l'espèce fixée à 400 francs pour l'activité indispensable et utile déployée par le mandataire du recourant dans la présente procédure de recours. Il est en particulier constaté que l'essentiel de l'écriture de recours se compose de citations de divers rapports et articles.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