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D-8125/2009 vom 26. Januar 2010</w:t>
      </w:r>
    </w:p>
    <w:p>
      <w:r>
        <w:t>Bundesverwaltungsgericht, 2010-01-26, DE</w:t>
      </w:r>
    </w:p>
    <w:p>
      <w:r>
        <w:rPr>
          <w:b/>
        </w:rPr>
        <w:t xml:space="preserve">Quelle: </w:t>
      </w:r>
      <w:r>
        <w:t>https://mcp.opencaselaw.ch/entscheid/bvger_D-8125_2009</w:t>
      </w:r>
    </w:p>
    <w:p>
      <w:r>
        <w:t>FR: TAF D-8125/2009 du 26 janvier 2010</w:t>
      </w:r>
    </w:p>
    <w:p>
      <w:r>
        <w:t>IT: TAF D-8125/2009 del 26 gennaio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Das BFM hat unter anderem aus Gründen nach Art. 1 Bst. C Ziffn. 1 - 6 des Abkommens vom 28. Juli 1951 über die Rechtsstellung der Flüchtlinge (FK, SR 0.142.30) das Asyl widerrufen und die Flüchtlingseigenschaft aberkannt (vgl. Art. 63 Abs. 1 Bst. b AsylG).</w:t>
      </w:r>
    </w:p>
    <w:p>
      <w:r>
        <w:rPr>
          <w:b/>
        </w:rPr>
        <w:t>E. 4.2</w:t>
      </w:r>
    </w:p>
    <w:p>
      <w:r>
        <w:t>Im vorliegenden Fall hat das BFM zur Begründung des Asylwiderrufs und der Aberkennung der Flüchtlingseigenschaft die Bestimmung von Art. 1 C Ziff. 1 FK herangezogen, der zufolge eine die Bedingungen von Art. 1 A FK erfüllende Person nicht mehr unter das Abkommen fällt, wenn sie sich freiwillig wieder unter den Schutz des Landes, dessen Staatsangehörigkeit sie besitzt, gestellt hat. Im Einzelnen führt es aus, Art. 1 C Ziff. 1 FK halte fest, dass eine Person nicht mehr unter das Abkommen falle, wenn sie sich freiwillig unter den Schutz des Landes, dessen Staatsangehörigkeit sie besitze, gestellt habe. Gemäss Rechtsprechung komme diese Bestimmung nur dann zur Anwendung, wenn die drei folgenden Voraussetzungen kumulativ erfüllt seien: Erstens müsse die Handlung des Flüchtlings freiwillig erfolgt sein, das heisse ohne äusseren Zwang durch die Umstände im Asylland oder durch die Behörden dieses Landes. Zweitens müsse die betroffene Person in der Absicht gehandelt haben, sich erneut dem Schutz des Heimatstaates zu unterstellen. Drittens müsse die Schutzgewährung durch den Heimatstaat tatsächlich erfolgt sein. Vorliegend habe sich die Beschwerdeführerin am 16. Oktober 2009 von München aus in den Irak zurückbegeben. Damit habe sie sich unter den Schutz ihres Heimatstaates begeben. Aufgrund der bestehenden Sachlage seien die obigen Bedingungen erfüllt. Somit werde das Asyl widerrufen und die Flüchtlingseigenschaft aberkannt.</w:t>
      </w:r>
    </w:p>
    <w:p>
      <w:r>
        <w:rPr>
          <w:b/>
        </w:rPr>
        <w:t>E. 5.1</w:t>
      </w:r>
    </w:p>
    <w:p>
      <w:r>
        <w:t>In ihrer Beschwerde vom 30. Dezember 2009 macht die Beschwerdeführerin im Wesentlichen geltend, die Vorinstanz habe den Grundsatz des rechtlichen Gehörs wie auch den Untersuchungsgrundsatz verletzt. Sie sei entgegen den Erwägungen des BFM am 16. Oktober 2009 nach Istanbul geflogen und habe dort mit ihrem Freund einige Wochen in einer Mietwohnung verbracht; am 11. Dezember 2009 sei sie von Istanbul aus zurück nach München geflogen. Im Irak sei sie seit ihrer Einreise in die Schweiz noch nie gewesen. Zur Untermauerung ihrer Vorbringen liess die Beschwerdeführerin unter anderem Belege zum Rückflug von Istanbul nach München, ein Schreiben vom 26. Dezember 2009 ihres Freundes zum Aufenthalt in Istanbul sowie ihren Schweizerischen Reisausweis im Original zu den Akten reichen.</w:t>
      </w:r>
    </w:p>
    <w:p>
      <w:r>
        <w:rPr>
          <w:b/>
        </w:rPr>
        <w:t>E. 5.2</w:t>
      </w:r>
    </w:p>
    <w:p>
      <w:r>
        <w:t>Was die Rüge betrifft, die Vorinstanz hätte der Beschwerdeführerin das Akteneinsichtsrecht bezüglich des unter der Nummer B1/2 aufgeführten Denunziationsschreibens gewähren müssen, so ist auf Art. 27 Abs. 1 Bst. b VwVG hinzuweisen, wonach die Einsichtnahme verweigert werden kann, wenn wesentliche private Interessen im Spiele stehen. Dementsprechend sind die unter Ziffer 3 der Rechtsbegehren aufgeführten Anträge abzuweisen. Im Übrigen wurde der Beschwerdeführerin der wesentliche Inhalt des Denunziationsschreibens bereits im Schreiben vom 5. November 2009 des BFM mitgeteilt. Dementsprechend durfte die Vorinstanz nach Massgabe der Kenntnisgabe auch zum Nachteil der Beschwerdeführerin auf dieses Dokument abstellen (Art. 28 VwVG).</w:t>
      </w:r>
    </w:p>
    <w:p>
      <w:r>
        <w:rPr>
          <w:b/>
        </w:rPr>
        <w:t>E. 5.3</w:t>
      </w:r>
    </w:p>
    <w:p>
      <w:r>
        <w:t>Was hingegen die Rügen der Verletzung des Untersuchungsgrundsatzes und der unrichtigen Feststellung des rechtserheblichen Sachverhalts anbelangt, so werden diese in der Beschwerdeschrift durchaus zu Recht erhoben. Die Vorinstanz stützte sich bei ihrem Widerrufsentscheid ausschliesslich auf das Denunziationsschreiben, welches indessen keinen Beweis für die von der Vorinstanz unterstellte freiwillige Rückkehr in den Heimatstaat erbringt, sondern allenfalls einen Verdacht für diese begründet. Die Beschwerdeführerin, welche sich im Übrigen nicht mehr permanent zur Verfügung der Behörden halten muss (vgl. Art. 8 Abs. 3 AsylG e contrario; Fristerstreckungsgesuch vom 16. November 2009), erbringt zwar ebenfalls nicht den Beweis für den von ihr geltend gemachten Sachverhalt. Immerhin legte sie jedoch Fotokopien des Boarding Passes für den Flug von Istanbul nach München, eine Kopie des elektronischen Tickets, das Original des Reiseausweises sowie weitere Indizienbeweise vor. Diese lassen zwar eine Rückkehr in den Heimatstaat während der fraglichen Zeit nicht als ausgeschlossen erscheinen, doch ist es die Vorinstanz, welche dafür die objektive Beweislast trägt (Art. 8 des Schweizerischen Zivilgesetzbuchs vom 10. Dezember 1907 [ZGB, SR 210]). Angesichts der Beweislosigkeit dieser Tatsache ist in casu zu Ungunsten der Vorinstanz zu entscheiden.</w:t>
      </w:r>
    </w:p>
    <w:p>
      <w:r>
        <w:rPr>
          <w:b/>
        </w:rPr>
        <w:t>E. 6</w:t>
      </w:r>
    </w:p>
    <w:p>
      <w:r>
        <w:t>Zusammenfassend ergibt sich, dass aufgrund der Aktenlage die Voraussetzungen gemäss Art. 1 C Ziff. 1 FK nicht erfüllt sind, da die Rückkehr der Beschwerdeführerin in den Heimatstaat nicht feststeht. Das Bundesamt hat demnach zu Unrecht die Flüchtlingseigenschaft der Beschwerdeführerin aberkannt und das ihr gewährte Asyl widerrufen. Die Beschwerde ist demnach gutzuheissen und die Verfügung des Bundesamtes vom 26. November 2009 aufzuheben.</w:t>
      </w:r>
    </w:p>
    <w:p>
      <w:r>
        <w:rPr>
          <w:b/>
        </w:rPr>
        <w:t>E. 7</w:t>
      </w:r>
    </w:p>
    <w:p>
      <w:r>
        <w:t>Mit Zwischenverfügung vom 15. Januar 2010 wurde das Gesuch um Gewährung der unentgeltlichen Rechtspflege im Sinne von Art. 65 Abs. 1 VwVG gutgeheissen, weshalb auf die Auferlegung von Verfahrenskosten zu verzichten ist.1.</w:t>
      </w:r>
    </w:p>
    <w:p>
      <w:r>
        <w:rPr>
          <w:b/>
        </w:rPr>
        <w:t>E. 8</w:t>
      </w:r>
    </w:p>
    <w:p>
      <w:r>
        <w:t>Gemäss Art. 64 Abs. 1 VwVG i.V.m. Art. 37 VGG kann die Beschwerdeinstanz der ganz oder teilweise obsiegenden Partei von Amtes wegen oder auf Begehren eine Entschädigung für die ihr er- wachsenen notwendigen und verhältnismässig hohen Kosten zusprechen (vgl. für die Grundsätze der Bemessung der Parteientschädigung ausserdem Art. 7 ff. VGKE). Seitens der Rechtsvertretung ist keine Kostennote eingereicht worden. Auf die Nachforderung einer solchen wird indessen verzichtet (vgl. Art. 14 Abs. 2 VGKE), weil im vorliegenden Verfahren der Aufwand zuverlässig abgeschätzt werden kann. Gestützt auf die in Betracht zu ziehenden Bemessungsfaktoren (Art. 9 - 13 VGKE) wird die Parteientschädigung angesichts des Obsiegens auf Grund der Akten daher auf Fr. 1'200.-- (inkl. Auslagen und Mehrwertsteuer) festgesetzt.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