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D-8110/2009 vom 17. Mai 2011</w:t>
      </w:r>
    </w:p>
    <w:p>
      <w:r>
        <w:t>Bundesverwaltungsgericht, 2011-05-17, DE</w:t>
      </w:r>
    </w:p>
    <w:p>
      <w:r>
        <w:rPr>
          <w:b/>
        </w:rPr>
        <w:t xml:space="preserve">Quelle: </w:t>
      </w:r>
      <w:r>
        <w:t>https://mcp.opencaselaw.ch/entscheid/bvger_D-8110_2009</w:t>
      </w:r>
    </w:p>
    <w:p>
      <w:r>
        <w:t>FR: TAF D-8110/2009 du 17 mai 2011</w:t>
      </w:r>
    </w:p>
    <w:p>
      <w:r>
        <w:t>IT: TAF D-8110/2009 del 17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beantragt die Ge­währung des Asyls. Im Zent­rum der Beschwerdebegründung steht indes sein exilpolitisches Engage­ment, welches gemäss nachfolgenden Ausführungen nicht zur Asylgewäh­rung führen kann. Ferner hat das BFM bereits im ersten Asylver­fahren mit Entscheid vom 16. Februar 2005 eine geltend ge­machte Vorverfolgung für unglaubhaft erachtet. Dieser Entscheid erwuchs unangefochten in Rechtskraft. Im zweiten Asylverfahren hielt das Bundes­verwaltungsgericht unter anderem fest, der Beschwerdeführer habe kein po­litisches Engagement vor der Ausreise geltend gemacht und es könne aufgrund unglaubhafter Aussagen ausgeschlossen werden, dass er vor dem Verlassen des Heimatlandes als regimefeindliche Person in den Fo­kus der Behörden geraten sei (vgl. Bst. F. des Urteils vom 16. Juli 2008). So­weit der Vertreter des Beschwerdeführers in der Eingabe vom 28. De­zember 2009 unter Hinweis auf die aktuelle Situation im Iran implizit gleich­wohl eine asylrelevante Gefährdung vorbringt, liegt mithin in keiner Weise eine stringente und nachvollziehbare Argumentation für eine sol­che konkrete Bedrohung des Beschwerdeführers im Heimatland vor. Der Antrag auf Asylgewährung ist deshalb abzuweisen.</w:t>
      </w:r>
    </w:p>
    <w:p>
      <w:r>
        <w:rPr>
          <w:b/>
        </w:rPr>
        <w:t>E. 5.1</w:t>
      </w:r>
    </w:p>
    <w:p>
      <w:r>
        <w:t>Im Folgenden ist zu prüfen, ob der Beschwerdeführer durch sein Ver­halten nach der Ausreise, das heisst durch sein geltend gemachtes exilpoliti­sches Engagement, eine zukünftige Verfolgung durch die irani­schen Behörden zu befürchten hat und aus diesem Grund die Flücht­lingsei­genschaft erfüllt.</w:t>
      </w:r>
    </w:p>
    <w:p>
      <w:r>
        <w:rPr>
          <w:b/>
        </w:rPr>
        <w:t>E. 5.2</w:t>
      </w:r>
    </w:p>
    <w:p>
      <w:r>
        <w:t>Subjektive Nachfluchtgründe sind gemäss Praxis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w:t>
      </w:r>
    </w:p>
    <w:p>
      <w:r>
        <w:rPr>
          <w:b/>
        </w:rPr>
        <w:t>E. 5.3</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riesi­gen Datenmen­gen ohne allzu gros­sen Aufwand gezielt und umfassend zu überwa­chen und gegebenenfalls nach Stichworten zu durchsuchen. In gene­reller Hinsicht ist ferner festzu­halten, dass nach konstanter Praxis bei iranischen Asylsuchenden das blosse Einreichen eines Asylgesu­ches keinen sub­jektiven Nachflucht­grund im Sinne von Art. 54 AsylG darstellt (vgl. BVGE 2009/28 E. 7.4.4). Demgegenüber bleibt im Einzelfall zu prüfen, ob die in der Schweiz entwi­ckelten exilpolitischen Aktivitäten bei einer allfälligen Aus­schaffung in den Iran mit überwiegender Wahrschein­lichkeit ernst­hafte Nachteile im asylrecht­lichen Sinne nach sich ziehen würden (vgl. wiederum BVGE 2009/28 E.7.4.3).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a.a.O. S. 7).</w:t>
      </w:r>
    </w:p>
    <w:p>
      <w:r>
        <w:rPr>
          <w:b/>
        </w:rPr>
        <w:t>E. 6.1</w:t>
      </w:r>
    </w:p>
    <w:p>
      <w:r>
        <w:t>Der Beschwerdeführer macht geltend, sich nach seiner Einreise in die Schweiz der DFV angeschlossen zu haben. In der Folge sei er für die IFIR aktiv geworden. Diese Vorbringen verbunden mit der Teilnahme an Veranstaltungen wurden vom Bundesverwaltungsgericht im Urteil vom 16. Juli 2008 nicht bestritten. Festgehalten wurde aber wie bereits er­wähnt auch, es könne ausgeschlossen werden, dass er vor dem Verlas­sen des Heimatlandes den iranischen Behörden als regimefeindliche Per­son aufgefallen sei. Im Weiteren sei er gemäss den eingereichten Unterla­gen lediglich ein einfaches Mitglied der DVF gewesen. Bei der IFIR sei er zwar zum zuständigen Vertreter seines Aufenthaltskantons er­nannt worden. Zudem sei er als Bewilligungsinhaber einer Standaktion in Er­scheinung getreten. Auch in Berücksichtigung dieser Funktionen sei aber nicht glaubhaft, dass er von den iranischen Behörden nunmehr als poli­tisch exponierte Person und somit als Bedrohung für das politische Sys­tem im Iran wahrgenommen werde. Betreffend Standaktion sei nicht da­von auszugehen, dass sein Name an die Öffentlichkeit hätte gelangen können. Auch der von ihm im Internet publizierte Artikel deute nicht auf ein erhöhtes politisches Profil hin, da er nicht über eine Auflistung der schlechten politischen Lage im Iran sowie eine allgemeine Kritik am irani­schen Regime hinausgehe. Es lägen keine Hinweise vor, wonach der Be­schwerdeführer in der Schweiz in einer hohen und in der Öffentlichkeit expo­nierten Kaderstelle einer Exilorganisation tätig wäre oder anlässlich ei­ner Veranstaltung in führender Position gegen aussen in Erscheinung ge­treten wäre (vgl. wiederum Bst. F., J. und Ziff. 3.2 des zitierten Urteils re­spektive die entsprechenden Zwischenverfügungen).</w:t>
      </w:r>
    </w:p>
    <w:p>
      <w:r>
        <w:rPr>
          <w:b/>
        </w:rPr>
        <w:t>E. 6.2</w:t>
      </w:r>
    </w:p>
    <w:p>
      <w:r>
        <w:t>Die besagten Erwägungen des Bundesverwaltungsgerichts bezogen sich auf die damalige Aktenlage. Die Beschwerdeinstanz kam zum Schluss, die Voraussetzungen für die Anerkennung als Flüchtling wegen subjektiver Nachfluchtgründe seien nicht gegeben. Das Urteil datiert vom 16. Juli 2008 und liegt bald drei Jahre zurück. Eine wesentliche Schär­fung des politischen Profils des Beschwerdeführers im Zeitraum danach kann den verfügbaren Akten aber nach wie vor nicht entnommen werden. Im dritten Asylgesuch macht er zwar unter anderem geltend, auch für die wpi tätig geworden zu sein. Eine exponierte Funktion innerhalb dieser Grup­pierung ist indes nicht ersichtlich (vgl. das wpi-Schreiben vom 14. Sep­tember 2009 in D 3 Nr. 6). Innerhalb der IFIR soll er _______. In einem ebendort gelagerten Beweismittel wird er im Übrigen als wichtiges IFIR Mitglied in _______ bezeichnet, was entsprechend Fragen betreffend Beweiswert des Dokuments aufwirft. In zwei weiteren dort gesammelten IFIR-Beweismitteln wird er _______ erwähnt. Unbesehen der Frage, ob in Anbetracht der Qualität der Beweismittel wirklich davon auszugehen ist, er übe die erwähnten Funktionen tatsächlich aus, ist beziehungsweise wäre damit aber nach wie vor keine exponierte Kaderstellung verbunden mit Auftritten gegen aussen in führender Position ersichtlich. Namentlich auch an der Anhörung vom 24. November 2009 machte der Beschwer­deführer jedenfalls nicht den Eindruck einer in wichtige politische Ent­scheidungsprozesse eingebundenen Person (D 12/7). Es mag zwar zu­treffen, dass er immer wieder als Inhaber von Bewilligungen für (Stand)Aktionen im Aufenthaltskanton in Erscheinung getreten ist. Abgese­hen davon, dass besagte Anlässe kaum als Grossdemonstratio­nen mit vielen Teilnehmenden qualifiziert werden können, ist diesbezüg­lich wiederum auf das Urteil des Bundesverwaltungsgerichts vom 16. Juli 2008 zu verweisen (Name des Bewilligungsinhabers gelangt nicht an die Öffentlichkeit). Auch aufgrund der wiederholten Publikation von Artikeln im Internet respektive der Tatsache, dass er _______ aufgeführt sein soll, ist in Berücksichtigung seines Persönlichkeits­profils noch keine entscheidende Gefährdung dargetan. Schliesslich hat der Beschwerdeführer bei einer Versammlung in _______ vor laufender Kamera _______ ein Interview gewährt. Gemäss der eingereich­ten CD dauerte dieses wenige Minuten. Die Kürze des (allfällig über Internet) gesendeten Beitrages lässt aber wiederum kaum auf eine relevante Gefährdung des Be­schwerdeführers schliessen.</w:t>
      </w:r>
    </w:p>
    <w:p>
      <w:r>
        <w:rPr>
          <w:b/>
        </w:rPr>
        <w:t>E. 6.3</w:t>
      </w:r>
    </w:p>
    <w:p>
      <w:r>
        <w:t>Zusammenfassend ist nicht davon auszu­gehen, dass der Beschwerde­führer bereits vor der Ausreise die Aufmerksamkeit der irani­schen Behörden in relevantem Ausmass auf sich gezogen hat. Vor die­sem Hintergrund rechtfertigt sich der Schluss, dass er vor seiner Abset­zung in den Westen durch die irani­schen Be­hörden jedenfalls nicht als staatsgefährdender Politaktivist fichiert war. Seine exilpolitischen Aktivitä­ten können denn auch insofern mit derjenigen einer Vielzahl seiner Landsleute in Über­ein­stimmung ge­bracht werden, als sich diese nach dem Gesagten auch in Berücksichtigung seiner allfälligen Funktionen bei der IFIR nicht mar­kant von denen ande­rer Iraner abheben. Es ist entgegen den Beschwer­devorbringen und im Sinne der angefochtenen Verfügung daher nicht davon auszugehen, dass die irani­schen Behörden bei ihm von einer Bedrohung für das Regime ausgehen wür­den. Die durch den Beschwerde­führer öffent­lich vorgetragene Kritik am Re­gime weist dem­nach insge­samt nicht den nötigen Exponierungsgrad auf, um bei den irani­schen Behörden den Eindruck zu erwecken, dass sie zu ei­ner Gefahr für den Bestand ihres Regimes werde. Zudem bestehen keine Anhalts­punkte dafür, dass in seinem Heimatstaat ein Strafverfahren oder an­dere behördliche Massnahmen eingeleitet worden wären. Einzuräumen ist, dass solche wohl nur schwer zu belegen wären. Entsprechende Massnah­men scheinen indes auch im Falle der Rückkehr nicht überwie­gend wahr­scheinlich.</w:t>
      </w:r>
    </w:p>
    <w:p>
      <w:r>
        <w:rPr>
          <w:b/>
        </w:rPr>
        <w:t>E. 6.4</w:t>
      </w:r>
    </w:p>
    <w:p>
      <w:r>
        <w:t>Es ist mithin festzustellen, dass auch die im aktuellen Asylverfahren geltend gemach­ten subjektiven Nachfluchtgründe nicht geeignet sind, eine flüchtlingsrecht­lich relevante Verfolgungsfurcht zu begründen. An die­ser Einschät­zung vermögen weder die weiteren Ausführungen in der Ein­gabe noch die beigelegten Beweismittel etwas zu ändern.</w:t>
      </w:r>
    </w:p>
    <w:p>
      <w:r>
        <w:rPr>
          <w:b/>
        </w:rPr>
        <w:t>E. 6.5</w:t>
      </w:r>
    </w:p>
    <w:p>
      <w:r>
        <w:t>Unter Berücksichtigung der gesamten Umstände folgt, dass der Be­schwerdeführer keine Gründe nach Art. 3 AsylG nachweisen oder glaub­haft machen konnte. Die Vorinstanz hat die Flüchtlingseigen­schaft dem­nach zu Recht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w:t>
      </w:r>
    </w:p>
    <w:p>
      <w:r>
        <w:rPr>
          <w:b/>
        </w:rPr>
        <w:t>E. 8.3.4</w:t>
      </w:r>
    </w:p>
    <w:p>
      <w:r>
        <w:t>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124 -127, mit weiteren Hinweisen). Dies ist ihm unter Hin­weis auf die Erwägungen zum Flüchtlingspunkt jedoch nicht gelungen. Auch die allgemeine Men­schenrechts­situa­tion im Heimatstaat lässt den Wegweisungsvollzug zum heutigen Zeitpunkt nicht als generell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w:t>
      </w:r>
    </w:p>
    <w:p>
      <w:r>
        <w:rPr>
          <w:b/>
        </w:rPr>
        <w:t>E. 8.4.3</w:t>
      </w:r>
    </w:p>
    <w:p>
      <w:r>
        <w:t>Der noch junge Beschwerdeführer verfügt über verschiedene Berufs­erfahrungen und hat grundsätzlich ein soziales Netz vor Ort (vgl. A 5/20 S. 3 ff. und Ziff. 5.5 des Urteils vom 16. Juli 2008). Es sollte ihm so­mit möglich sein, auch in Berücksichtigung der langen Landesabwesen­heit im Iran wieder eine Existenz aufzubauen.</w:t>
      </w:r>
    </w:p>
    <w:p>
      <w:r>
        <w:rPr>
          <w:b/>
        </w:rPr>
        <w:t>E. 8.4.4</w:t>
      </w:r>
    </w:p>
    <w:p>
      <w:r>
        <w:t>Nach dem Gesagten erweist sich der Vollzug der Wegweisung auch als zu­mutbar.</w:t>
      </w:r>
    </w:p>
    <w:p>
      <w:r>
        <w:rPr>
          <w:b/>
        </w:rPr>
        <w:t>E. 8.5</w:t>
      </w:r>
    </w:p>
    <w:p>
      <w:r>
        <w:t>Schliesslich obliegt es dem Beschwerdeführer, sich bei der zuständi­gen Vertretung des Heimatstaates die für eine Rückkehr allen­falls noch not­wendigen Reisedokumente zu beschaffen (vgl. Art. 8 Abs. 4 AsylG und dazu auch BVGE 2008/34 E. 12 S. 513 - 515), weshalb der Voll­zug der Wegweisung auch als möglich zu bezeichnen ist (Art. 83 Abs. 2 AuG).</w:t>
      </w:r>
    </w:p>
    <w:p>
      <w:r>
        <w:rPr>
          <w:b/>
        </w:rPr>
        <w:t>E. 9</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dem Beschwer­de­füh­rer aufzuerlegen (Art. 63 Abs. 1 VwVG; Art. 1 - 3 des Reglements vom 21. Feb­ruar 2008 über die Kosten und Entschädigungen vor dem Bundesver­waltungsgericht [VGKE, SR 173.320.2]). Aufgrund der erfolgten Gutheissung des Gesuchs im Sinne von Art. 65 Abs. 1 VwVG erfolgt indes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