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D-8099/2024 vom 3. Februar 2025</w:t>
      </w:r>
    </w:p>
    <w:p>
      <w:r>
        <w:t>Bundesverwaltungsgericht, 2025-02-03, DE</w:t>
      </w:r>
    </w:p>
    <w:p>
      <w:r>
        <w:rPr>
          <w:b/>
        </w:rPr>
        <w:t xml:space="preserve">Quelle: </w:t>
      </w:r>
      <w:r>
        <w:t>https://mcp.opencaselaw.ch/entscheid/bvger_D-8099_2024</w:t>
      </w:r>
    </w:p>
    <w:p>
      <w:r>
        <w:t>FR: TAF D-8099/2024 du 3 février 2025</w:t>
      </w:r>
    </w:p>
    <w:p>
      <w:r>
        <w:t>IT: TAF D-8099/2024 del 3 febbraio 2025</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grundsätzlich einzutreten.</w:t>
      </w:r>
    </w:p>
    <w:p>
      <w:r>
        <w:rPr>
          <w:b/>
        </w:rPr>
        <w:t>E. 1.4</w:t>
      </w:r>
    </w:p>
    <w:p>
      <w:r>
        <w:t>Gemäss dem ersten Beschwerdebegehren beantragen die Beschwer- deführenden die Aufhebung der Verfügung des SEM vom 18. Dezember 2024, schränken das Begehren aber gleichzeitig auf den Vollzug der Weg- weisung ein. Sodann ergibt sich aus der Begründung der Beschwerde klar, dass die Dispositiv-Ziffern 1 und 2 (betreffend Nichteintreten auf Asyl-</w:t>
      </w:r>
    </w:p>
    <w:p>
      <w:r>
        <w:t>D-8099/2024 Seite 4 gesuch und Wegweisung aus der Schweiz) nicht angefochten wurden und somit nicht Gegenstand des vorliegenden Beschwerdeverfahrens bilden. Die Verfügung des SEM ist insoweit unangefochten in Rechtskraft erwach- sen.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4.1</w:t>
      </w:r>
    </w:p>
    <w:p>
      <w:r>
        <w:t>Die Vorinstanz führt in der angefochtenen Verfügung – soweit vorlie- gend von Interesse – im Wesentlichen aus, die Beschwerdeführenden hät- ten ihren Heimatstaat einzig aufgrund der Krankheit ihres Sohnes E._______ verlassen. Die Unzumutbarkeit des Wegweisungsvollzugs auf- grund einer medizinischen Notlage sei nur dann anzunehmen, wenn eine notwendige medizinische Behandlung im Heimatland nicht zur Verfügung stehe und die Rückkehr zu einer raschen und lebensgefährdenden Beein- trächtigung des Gesundheitszustandes führe. Kinder und Jugendliche bis 15 Jahre würden im Kosovo medizinisch gratis behandelt und seien von der Zahlung eines Selbstbehaltes befreit. In der Universitätsklinik in Pris- tina (Kosovo University Clinical Center [Qendra Klinik Universitare e Koso- vës QKUK-KUCC]) könne ein Grossteil der gängigen Krankheitsbilder be- handelt werden. Verschiedene private Kliniken hätten zumindest teilweise komplementären Charakter. In den Bereichen Orthopädie sowie Neurochi- rurgie würden Interventionen durchgeführt, die an der Universitätsklinik nicht oder nicht in dieser Qualität möglich seien. Die auf diese Bereiche spezialisierte private Royal Medical Klinik führe beispielsweise Eingriffe durch, die an der Universitätsklinik nicht vorgenommen werden könnten. Ambulante und stationäre orthopädische Konsultationen, insbesondere Röntgenaufnahmen (der Wirbelsäule) und Magnetresonanztomografie (MRI) seien an der Universitätsklinik möglich und auch neurologische Kon- trollen seien ebenfalls in der Klinik vorhanden. Orthopädische Operationen sowie chirurgische Revisionen, gegebenenfalls mit neurochirurgischer und</w:t>
      </w:r>
    </w:p>
    <w:p>
      <w:r>
        <w:t>D-8099/2024 Seite 5 plastischer Unterstützung, sowie Physiotherapie seien ebenfalls an der Universitätsklinik verfügbar. Nur im Falle erhöhter Komplexität des erfor- derlichen Eingriffs müssten fortgeschrittene orthopädische und neurochi- rurgische Behandlungen wie zum Beispiel Korrektureingriff an der Wirbel- säule gegebenenfalls an der Wirbelsäule in einer privaten Einrichtung im Kosovo oder im Ausland durchgeführt werden. Den Sohn, E._______, be- treffend sei die medizinische Behandlung im Heimatstaat gewährleistet, womit die Zumutbarkeit des Wegweisungsvollzugs aufgrund einer medizi- nischen Notlage anzunehmen sei.</w:t>
      </w:r>
    </w:p>
    <w:p>
      <w:r>
        <w:rPr>
          <w:b/>
        </w:rPr>
        <w:t>E. 4.2</w:t>
      </w:r>
    </w:p>
    <w:p>
      <w:r>
        <w:t>In der Beschwerde wird gerügt, die Vorinstanz habe den Untersu- chungsgrundsatz verletzt, indem sie den medizinischen Sachverhalt nicht genügend abgeklärt habe. So habe sie insbesondere keine medizinische Begutachtung des minderjährigen Beschwerdeführers E._______ vorge- nommen. Die Vorinstanz führe pauschal aus, die medizinische Versorgung sei im Universitätsspital Pristina gewährleistet, die Vorinstanz habe es aber unterlassen abzuklären, was für eine Behandlung der Beschwerdeführer überhaupt benötige. Zudem seien sowohl die ärztlichen Gutachten aus dem Kosovo (die eine weitere Behandlung ausschliessen würden) wie auch jene aus der Türkei (die eine Operation empfehlen würden) nicht ge- würdigt worden. Der Sohn, E._______, befinde sich in einer prekären ge- sundheitlichen Situation. Es sei abzuklären, ob er an einem Hydrocaphalus (recte: Hydrocephalus) leide. Aufgrund seiner Epilepsieerkrankung sei auch eine neurologische Untersuchung indiziert. Es reiche sodann nicht aus, dass eine medizinische Versorgung theoretisch vorhanden sei, viel- mehr müsse diese praktisch gewährleistet sein. Auch A._______ und B._______ würden an körperlichen Gebrechen leiden; er an Herz- und Ma- genbeschwerden, sie an Herzbeschwerden.</w:t>
      </w:r>
    </w:p>
    <w:p>
      <w:r>
        <w:rPr>
          <w:b/>
        </w:rPr>
        <w:t>E. 5.1</w:t>
      </w:r>
    </w:p>
    <w:p>
      <w:r>
        <w:t>Der Untersuchungsgrundsatz verlangt, dass die Behörde von Amtes wegen für die richtige und vollständige Abklärung des rechtserheblichen Sachverhalts sorgt, die für das Verfahren notwendigen Unterlagen be- 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 sichtigt werden (vgl. BVGE 2016/2 E. 4.3). Der Untersuchungsgrundsatz gilt aber nicht uneingeschränkt; er findet sein Korrelat in der Mitwirkungs- pflicht der Asylsuchenden (vgl. Art. 13 VwVG und Art. 8 AsylG). Die</w:t>
      </w:r>
    </w:p>
    <w:p>
      <w:r>
        <w:t>D-8099/2024 Seite 6 entscheidende Behörde darf sich trotz des Untersuchungsgrundsatzes in der Regel darauf beschränken, die Vorbringen der Asylbewerber zu würdi- gen und die von ihnen angebotenen Beweise abzunehmen, ohne weitere Abklärungen vornehmen zu müssen (vgl. BVGE 2012/21 E. 5.1).</w:t>
      </w:r>
    </w:p>
    <w:p>
      <w:r>
        <w:rPr>
          <w:b/>
        </w:rPr>
        <w:t>E. 5.2</w:t>
      </w:r>
    </w:p>
    <w:p>
      <w:r>
        <w:t>Nach Einschätzung des Bundesverwaltungsgerichts ist das SEM sei- ner Pflicht zur Abklärung des rechtserheblichen Sachverhalts nicht in ge- nügender Weise nachgekommen. Die Vorinstanz hat ungenügend abge- klärt, ob die schwere Erkrankung des minderjährigen Beschwerdeführers E._______ im Kosovo angemessen behandelt werden kann (vgl. etwa Ur- teile des BVGer E-6756/2011 vom 13. Mai 2013 E. 4.3.2 und E-6536/2017 vom 16. Dezember 2019 E. 8.5.2). So hat die Vorinstanz selbst ausgeführt, dass die Universitätsklinik in Pristina gewisse (komplexe) orthopädische sowie neurochirurgische Eingriffe nicht vornehmen könne, verkennt dabei jedoch, dass beim minderjährigen, schwerbehinderten Beschwerdeführer solche Eingriffe allenfalls notwendig wären. Namentlich lässt sich dem ärzt- lichen Bericht vom 24. Dezember 2024 der (…) entnehmen, im März 2025 stehe eine reguläre Kontrolle bei der Neurologie und Neurochirurgie an. Es ist demzufolge nicht zweifelsfrei geklärt, ob der Beschwerdeführer im Ko- sovo für sein Geburtsgebrechen tatsächlich behandelt werden kann, zumal seine Eltern in der Asylanhörung wiederholt vorbrachten, er könne in Hei- matland laut den behandelnden Ärzten nicht operiert werden (vgl. SEM- act. […]-36/12 F37; vgl. SEM-act. […]-37/13 F13, F71). Entsprechend kann der medizinische Sachverhalt betreffend E._______ nicht als hinreichend erstellt betrachtet werden und wäre das SEM – spätestens im Rahmen des durchgeführten Schriftenwechsels – gehalten gewesen, diesbezüglich ver- tieftere Abklärungen vorzunehmen.</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6.2</w:t>
      </w:r>
    </w:p>
    <w:p>
      <w:r>
        <w:t>Im vorliegenden Fall ist die Sache an das SEM zurückzuweisen, da die Erstellung des medizinischen Sachverhalts weiterer Abklärungen bedarf</w:t>
      </w:r>
    </w:p>
    <w:p>
      <w:r>
        <w:t>D-8099/2024 Seite 7 und diese den Rahmen des Beschwerdeverfahrens sprengen würden. Das SEM ist gehalten, die Behandelbarkeit des Geburtsgebrechens von E._______ abzuklären und im Rahmen der Vollzugsprüfung eine Würdi- gung in Bezug auf das Kindeswohl vorzunehmen, die es in der angefoch- tenen Verfügung unterlassen hat (vgl. BVGE 2015/30 E. 7.2 m.w.H.).</w:t>
      </w:r>
    </w:p>
    <w:p>
      <w:r>
        <w:rPr>
          <w:b/>
        </w:rPr>
        <w:t>E. 7.1</w:t>
      </w:r>
    </w:p>
    <w:p>
      <w:r>
        <w:t>Bei diesem Ausgang des Verfahrens sind keine Kosten zu erheben (Art. 63 Abs. 1 und 2 VwVG). Das Gesuch um Gewährung der unentgeltli- chen Prozessführung wird demnach gegenstandslos.</w:t>
      </w:r>
    </w:p>
    <w:p>
      <w:r>
        <w:rPr>
          <w:b/>
        </w:rPr>
        <w:t>E. 7.2</w:t>
      </w:r>
    </w:p>
    <w:p>
      <w:r>
        <w:t>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D-8099/2024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