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D-8095/2010 vom 23. November 2010</w:t>
      </w:r>
    </w:p>
    <w:p>
      <w:r>
        <w:t>Bundesverwaltungsgericht, 2010-11-23, DE</w:t>
      </w:r>
    </w:p>
    <w:p>
      <w:r>
        <w:rPr>
          <w:b/>
        </w:rPr>
        <w:t xml:space="preserve">Quelle: </w:t>
      </w:r>
      <w:r>
        <w:t>https://mcp.opencaselaw.ch/entscheid/bvger_D-8095_2010</w:t>
      </w:r>
    </w:p>
    <w:p>
      <w:r>
        <w:t>FR: TAF D-8095/2010 du 23 novembre 2010</w:t>
      </w:r>
    </w:p>
    <w:p>
      <w:r>
        <w:t>IT: TAF D-8095/2010 del 23 novembre 2010</w:t>
      </w:r>
    </w:p>
    <w:p>
      <w:pPr>
        <w:pStyle w:val="Heading2"/>
      </w:pPr>
      <w:r>
        <w:t>Regeste</w:t>
      </w:r>
    </w:p>
    <w:p>
      <w:r>
        <w:t>Asylverfahren (Übriges)</w:t>
      </w:r>
    </w:p>
    <w:p>
      <w:pPr>
        <w:pStyle w:val="Heading2"/>
      </w:pPr>
      <w:r>
        <w:t>Erwägungen</w:t>
      </w:r>
    </w:p>
    <w:p>
      <w:r>
        <w:rPr>
          <w:b/>
        </w:rPr>
        <w:t>E. 1</w:t>
      </w:r>
    </w:p>
    <w:p>
      <w:r>
        <w:t>Der Entscheid des BFM vom 11. November 2010 sei aufzuheben.</w:t>
      </w:r>
    </w:p>
    <w:p>
      <w:r>
        <w:rPr>
          <w:b/>
        </w:rPr>
        <w:t>E. 2</w:t>
      </w:r>
    </w:p>
    <w:p>
      <w:r>
        <w:t>Es sei die Unrechtmässigkeit der Zuweisung des Aufenthaltsortes am Flughafen festzustellen.</w:t>
      </w:r>
    </w:p>
    <w:p>
      <w:r>
        <w:rPr>
          <w:b/>
        </w:rPr>
        <w:t>E. 3</w:t>
      </w:r>
    </w:p>
    <w:p>
      <w:r>
        <w:t>Der Beschwerdeführer sei von seinem Aufenthaltsort im Flughafen einem EVZ zuzuführen, und es sei ein Asylverfahren im Sinne von Art. 21 AsylG einzuleiten.</w:t>
      </w:r>
    </w:p>
    <w:p>
      <w:r>
        <w:rPr>
          <w:b/>
        </w:rPr>
        <w:t>E. 4</w:t>
      </w:r>
    </w:p>
    <w:p>
      <w:r>
        <w:t>Eventualiter sei ihm Asyl zu gewähren oder jedenfalls die Flüchtlingseigenschaft festzustellen.</w:t>
      </w:r>
    </w:p>
    <w:p>
      <w:r>
        <w:rPr>
          <w:b/>
        </w:rPr>
        <w:t>E. 5</w:t>
      </w:r>
    </w:p>
    <w:p>
      <w:r>
        <w:t>Subeventualiter sei die Unzulässigkeit, allenfalls die Unzumutbarkeit des Vollzugs der Wegweisung festzustellen und die vorläufige Aufnahme anzuordnen.</w:t>
      </w:r>
    </w:p>
    <w:p>
      <w:r>
        <w:rPr>
          <w:b/>
        </w:rPr>
        <w:t>E. 6</w:t>
      </w:r>
    </w:p>
    <w:p>
      <w:r>
        <w:t>Es sei auf die Erhebung eines Kostenvorschusses zu verzichten und die unentgeltliche Prozessführung zu gewähren, dass auf die Begründung der Rechtsbegehren, soweit für den Entscheid wesentlich, in den nachfolgenden Erwägungen eingegangen wird, dass das Bundesverwaltungsgericht endgültig über Beschwerden gegen Verfügungen (Art. 5 des Bundesgesetzes vom 20. Dezember 1968 über das Verwaltungsverfahren [VwVG, SR 172.021]) des BFM auf dem Gebiet des Asyls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fristgerecht eingereichte Beschwerde - unter Vorbehalt der nachfolgenden Erwägungen - einzutreten ist (Art. 108 Abs. 1 AsylG und Art. 52 VwVG), dass die Verweigerung der Einreise nach Art. 22 Abs. 2 AsylG bis zum Zeitpunkt der Eröffnung einer Verfügung nach Art. 23 Abs. 1 AsylG angefochten werden kann (Art. 108 Abs. 3 AsylG), dass die angefochtene Verfügung des BFM vom 11. November 2010 dem Beschwerdeführer am 12. November 2010 eröffnet wurde, weshalb die Frist zur Anfechtung von Ziffer 1 des Dispositivs der Zwischenverfügung vom 30. Oktober 2010 am 12. November 2010 abgelaufen ist (Art. 108 Abs. 3 AsylG), dass demnach auf das sinngemässe, aber verspätete Rechtsbegehren vom 19. November 2010 auf Aufhebung von Ziffer 1 der Zwischenverfügung vom 30. Oktober 2010 nicht einzutreten ist,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seiner Beschwerdeschrift im Wesentlichen geltend macht, in casu sei die Rechtmässigkeit und Angemessenheit der Zuweisung des Aufenthaltsortes (Ziff. 2 der Zwischenverfügung vom 30. Oktober 2010) nicht gegeben, dass die vom Beschwerdeführer genannten Fluchtgründe klar asylrelevant seien, zumal dieser unter anderem geltend gemacht habe, er sei in seiner Heimat festgehalten und gefoltert worden, weshalb er Furcht vor künftiger Verfolgung hege, dass der Dolmetscher anlässlich der Direktanhörung nicht alles übersetzt und stattdessen versucht habe, ihn zu verwirren, was gewisse Unstimmigkeiten erkläre, dass die politische Lage in Tschetschenien entgegen den Erwägungen in der angefochtenen Verfügung nicht stabil geworden sei, dass nicht nur Zivilisten, sondern auch Polizisten umgebracht würden, und man auch ihn umgebracht hätte, wenn kein Lösegeld für ihn gezahlt worden wäre, dass er nach der Rückkehr in Russland umgebracht oder in Gefangenschaft genommen werden könnte, dass bei dieser Sachlage zumindest die vorläufige Aufnahme des Beschwerdeführers in der Schweiz anzuordnen sei, dass diese Vorbringen in der Beschwerdeschrift indessen nicht zu einer veränderten Betrachtungsweise zu führen vermögen, dass die Zuweisung des Transitbereiches als vorläufiger Aufenthaltsort durch das BFM nicht zu beanstanden ist, dass die Zuweisung des Beschwerdeführers in den Transitbereich des Flughafens M._______ und die damit verbundene Freiheitsbeschränkung im Rahmen der gesetzlichen Maximaldauer und entsprechend den von der Praxis definierten Bedingungen (vgl. Entscheidungen und Mitteilungen der Schweizerischen Asylrekurskommission [EMARK] 1998 Nr. 7) keine unrechtmässige Freiheitsentziehung im Sinne von Art. 5 Ziff. 1 der Konvention vom 4. November 1950 zum Schutze der Menschenrechte und Grundfreiheiten (EMRK, SR 0.101) darstellt (WALTER STÖCKLI, Asyl, in: Uebersax/Rudin/ Hugi/Yar/Geiser [Hrsg.], Ausländerrecht, 2. Aufl., Basel 2009, Rz. 11.188), dass dem Beschwerdeführer das Protokoll auch anlässlich der Direktanhörung vom 5. November 2010 rückübersetzt wurde, weshalb er allfällige Unstimmigkeiten im Zusammenhang mit dem Protokollinhalt hätte rügen können und müssen, dass sämtliche Dolmetscher vorgängig ihres Einsatzes hinsichtlich ihrer fachlichen Fähigkeiten und charakterlichen Eignung überprüft werden, weshalb nicht davon auszugehen ist, irgendjemand habe versucht, den Beschwerdeführer zu verwirren, dies umso weniger, als sich in den Akten keine Hinweise auf derartige Praktiken finden lassen, dass der Hilfswerkvertreter anlässlich der Direktanhörung vom 5. November 2010 keine Einwände vorbrachte, dass sich der Beschwerdeführer dementsprechend bei seinen Erklärungen, wie sie in die Protokolle Eingang fanden, behaften lassen muss, dass die Vorbringen in der Beschwerdeschrift sowie der persönlichen Stellungnahme des Beschwerdeführers nicht zu einer veränderten Betrachtungsweise zu führen vermögen, dass die Vorbringen des Beschwerdeführers widersprüchlich und unsubstanziiert, somit unglaubhaft ausgefallen sind, zumal er zahlreiche wesentliche Begleitumstände der geltend gemachten Verfolgungssituation widersprüchlich schilderte und sich dementsprechend der Eindruck aufdrängt, er habe bei seinen Schilderungen nicht auf Erinnerungen an tatsächliche Begebenheiten zurückgreifen können, sondern stattdessen eine Verfolgungssituation lediglich erfunden, dass es sich erübrigt, auf die Unstimmigkeiten im Einzelnen einzugehen, zumal zur Vermeidung von Wiederholungen auf die zutreffenden Erwägungen in der angefochtenen 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(Schweizerische Asylrekurskommission) der gleiche Beweisstandard wie bei der Flüchtlingseigenschaft gilt, das heisst, sie sind zu beweisen, wenn der strikte Beweis möglich ist, und andernfalls wenigstens glaubhaft zu machen (vgl. Walter Stöckli, Asyl, in: Uebersax/Rudin/Hugi Yar/Geiser, a.a.O.,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(siehe Art. 3 EMRK und Art. 3 des Übereinkommens vom 10. Dezember 1984 gegen Folter und andere grausame, unmenschliche oder erniedrigende Behandlung oder Strafe [FoK, SR 0.105]),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(siehe Entscheide des Schweizerischen Bundesverwaltungsgerichts [BVGE] 2009/52 E.10.2.5 S. 761/2), dass der junge und den Akten zufolge gesunde Beschwerdeführer im Heimatstaat insbesondere auf ein soziales Netz zurückgreifen kann (A6 Ziff. 12 S. 5 und 6), und auch ausserhalb des Heimatstaats beziehungsweise in Westeuropa zu zahlreichen Verwandten enge Beziehungen unterhält, dass er seinen Lebensunterhalt weiterhin in Russland als (...) und (...) verdienen kann, weshalb nicht davon auszugehen ist, die Rückkehr in den Heimatstaat führe für ihn zu einer existenziellen Bedrohung,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in casu gestützt auf Art. 6 Abs. 1 Bst b des Reglements vom 21. Februar 2008 über die Kosten und Entschädigungen vor dem Bundesverwaltungsgericht (VGKE, SR 173.320.2) auf die Erhebung von Verfahrenskosten zu verzichten ist, weshalb das Gesuch um Gewährung der unentgeltlichen Rechtspflege im Sinne von Art. 65 Abs. 1 VwVG gegenstandslos wird, dass mit Ergehen des vorliegenden Urteils auch das Gesuch um Verzicht auf die Erhebung eines Kostenvorschusses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