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D-8089/2016 vom 3. Oktober 2017</w:t>
      </w:r>
    </w:p>
    <w:p>
      <w:r>
        <w:t>Bundesverwaltungsgericht, 2017-10-03, DE</w:t>
      </w:r>
    </w:p>
    <w:p>
      <w:r>
        <w:rPr>
          <w:b/>
        </w:rPr>
        <w:t xml:space="preserve">Quelle: </w:t>
      </w:r>
      <w:r>
        <w:t>https://mcp.opencaselaw.ch/entscheid/bvger_D-8089_2016</w:t>
      </w:r>
    </w:p>
    <w:p>
      <w:r>
        <w:t>FR: TAF D-8089/2016 du 3 octobre 2017</w:t>
      </w:r>
    </w:p>
    <w:p>
      <w:r>
        <w:t>IT: TAF D-8089/2016 del 3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es sei einleitend darauf hinzuweisen, dass ein enger Zusammenhang zwischen der von der Beschwerdeführerin geltend gemachten eigenen Verfolgung und derjenigen ihrer Mutter bestehe, da sie erklärt habe, sie und ihre Mutter seien beide von ihrem Stiefvater misshandelt worden. Mit Asylentscheid vom 28. November 2016 im Verfahren N_______ seien die Vorbringen ihrer Mutter als unglaubhaft erachtet worden. Somit bestehe in Ermangelung der Verfolgungssituation ihrer Mutter kein Anlass zur Annahme, dass sie von ihrem Stiefvater behelligt worden sei. Abgesehen davon müssten ihre Vorbringen auch für sich selbst betrachtet als unglaubhaft qualifiziert werden. So habe sie hinsichtlich des Schulbesuchs widersprüchliche Angaben angeführt und diese Unstimmigkeiten nicht plausibel auflösen können. Auch seien die Ausführungen zu den Wohnortswechseln als Folge der geltend gemachten häuslichen Gewalt uneinheitlich ausgefallen. Im Weiteren sei nicht einsichtig, weshalb sie bei der Polizei lediglich Anzeige gegen ihren Stiefvater wegen der geltend gemachten Schläge, nicht aber wegen der Vergewaltigungsversuche erstattet haben wolle. Zudem sei nicht nachvollziehbar, dass sie von der Polizei nach Erstatten der Anzeige angeblich Papiere erhalten habe, diese aber nicht gelesen haben wolle.</w:t>
      </w:r>
    </w:p>
    <w:p>
      <w:r>
        <w:rPr>
          <w:b/>
        </w:rPr>
        <w:t>E. 3.2</w:t>
      </w:r>
    </w:p>
    <w:p>
      <w:r>
        <w:t>In ihren Eingaben auf Beschwerdeebene rügte die Beschwerdeführerin zunächst eine unvollständige Abklärung des Sachverhalts, da sich das SEM nicht mit ihren Vorbringen auseinandergesetzt, sondern sich lediglich darauf beschränkt habe, Widersprüche zu nennen und das Gesuch abzulehnen. Ausserdem sei die Befragerin des SEM voreingenommen gewesen. Im Weiteren bestritt sie die vorinstanzlichen Vorhalte vollumfänglich und führte diese einesteils auf unkorrekte Angaben ihrerseits respektive auf ihr Unvermögen, präzise Details wiederzugeben, sowie andernteils auf die fehlende Berücksichtigung ihrer Minderjährigkeit durch das SEM, eine teilweise falsche Darstellung des Sachverhalts und auf eine unzutreffende Einschätzung der Situation durch die Vorinstanz zurück. Zudem seien aufgrund der eingereichten Beweismittel ihre Vorbringen als glaubhaft und die heimatlichen Behörden als nicht schutzwillig zu erachten.</w:t>
      </w:r>
    </w:p>
    <w:p>
      <w:r>
        <w:rPr>
          <w:b/>
        </w:rPr>
        <w:t>E. 4.1</w:t>
      </w:r>
    </w:p>
    <w:p>
      <w:r>
        <w:t>Die formelle Rüge, das SEM habe den Untersuchungsgrundsatz respektive die Pflicht zur vollständigen und richtigen Abklärung des rechtserheblichen Sachverhalts verletzt, erweist sich als unbegründet. Vorliegend ging die Vorinstanz aufgrund der Parteiauskünfte und der eingereichten Beweismittel (vgl. Art. 12 Bstn. a und b VwVG) zu Recht davon aus, dass der rechtserhebliche Sachverhalt als erstellt gelten könne und keine weiteren Beweismassnahmen zu ergreifen seien. Als unvollständig festgestellt gilt der Sachverhalt dann,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Rz. 40). Anlässlich der Anhörung - bei der die Beschwerdeführerin die vom SEM eingesetzte Übersetzerin gut verstanden habe (vgl. act. A15/14 S. 1) - wurde ihr nach über fünfzig einleitenden Fragen zunächst die Möglichkeit eingeräumt, sich in freier Erzählform zu ihren Asylgründen zu äussern, welche anschliessend durch eine Vielzahl von Fragen (auch offener Art) vertieft wurden. Die Rüge, die Anhörung sei nicht korrekt durchgeführt worden, vermag daher nicht durchzudringen. Sodann kann im Umstand, dass die Befragerin des SEM aufgrund ihrer Kenntnisse über die Handlungsweise der marokkanischen Behörden beim Vorliegen häuslicher Gewalt im Verlaufe der Anhörung in sachlicher Weise festhielt, dass die marokkanische Polizei gegen Täter bei häuslicher Gewalt vorgehe respektive es nicht den Gepflogenheiten der marokkanischen Polizei entspreche, in einem solchen Fall nichts zu unternehmen, noch nicht eine Voreingenommenheit erkannt werden. So vertiefte die Befragerin diese Aussage in der Folge denn auch nicht weiter und nahm im angefochtenen Entscheid ebenfalls nicht darauf Bezug (vgl. act. A16/5 S. 2 f.). Am Schluss der Anhörung wies das SEM die Beschwerdeführerin darauf hin, es seien aus seiner Sicht alle Fakten gesammelt, die für die Beurteilung ihres Asylgesuchs wesentlich seien, und fragte nach der Rechtsbelehrung nochmals nach, ob es noch Gründe gebe, die sie noch nicht erwähnt habe, welche gegen eine Rückkehr in ihre Heimat sprechen würden, worauf sie nochmals auf die Probleme mit dem Stiefvater und die Schwierigkeiten, die Schule fortsetzen zu können, hinwies und den Wunsch äusserte, in einem anderen Land als Marokko leben zu können (vgl. act. A15/14 S. 12), ohne aber weitergehende Ausführungen vorzubringen. Zudem bestätigte sie nach Rückübersetzung in einer ihr verständlichen Sprache die Vollständigkeit und Korrektheit des Protokolls, weshalb sie sich auf ihre Angaben behaften lassen muss. Die Vorinstanz gelangte nach einer gesamtheitlichen Würdigung der aktenkundigen Parteivorbringen zu einem anderen Schluss als die Beschwerdeführerin, was - entgegen der auf Beschwerdeebene geäusserten Ansicht - jedenfalls weder eine Verletzung des Untersuchungsgrundsatzes noch eine unvollständige Feststellung des rechtserheblichen Sachverhaltes darstellt. Die verfügende Behörde muss sich dabei - wie die Beschwerdeführerin zu verkennen scheint - nicht ausdrücklich mit jeder tatbeständlichen Behauptung und jedem rechtlichen Einwand auseinandersetzen, sondern darf sich auf die wesentlichen Gesichtspunkte beschränken (BGE 126 I 97 E. 2b; BVGE 2013/34 E. 4.1, 2008/47 E. 3.2). Sodann stellt eine andere Würdigung der Parteivorbringen respektive der aktuellen Situation in der Heimat der Beschwerdeführerin noch keine Verletzung des Untersuchungsgrundsatzes dar. Der Antrag, es sei die angefochtene Verfügung aufzuheben und die Sache zur Feststellung des vollständigen und richtigen rechtserheblichen Sachverhalts respektive zur erneuten Anhörung der Beschwerdeführerin und zur Neubeurteilung an das SEM zurückzuweisen, ist demzufolge abzuweisen.</w:t>
      </w:r>
    </w:p>
    <w:p>
      <w:r>
        <w:rPr>
          <w:b/>
        </w:rPr>
        <w:t>E. 4.2</w:t>
      </w:r>
    </w:p>
    <w:p>
      <w:r>
        <w:t>Auch in materieller Hinsicht vermag die Beschwerdeführerin gegen die im Ergebnis als zutreffend zu erachtende Einschätzung des SEM mit ihren Einwänden nicht durchzudringen. Vorweg ist festzuhalten, dass die Asylgründe ihrer Mutter, welche in einem engen Sachzusammenhang mit den vorliegend zu beurteilenden Gründen stehen, mit Urteil des Bundesverwaltungsgerichts D-8092/2016 gleichen Datums als unglaubhaft qualifiziert wurden. Es ist daher auch an der Glaubhaftigkeit der Ausführungen der Beschwerdeführerin in grundsätzlicher Hinsicht zu zweifeln. Dies nicht zuletzt auch, weil sie sich in ihren eigenen Ausführungen - so insbesondere zu den kurzzeitigen Verlegungen ihres Wohnsitzes innerhalb Marokkos als Folge der geltend gemachten häuslichen Gewalt - in erhebliche Widersprüche verstrickte und diese auf Beschwerdeebene nicht plausibel aufzulösen vermag. Vielmehr führte sie diesbezüglich weitere Sachverhaltselemente an, die sich zu ihren bisherigen Angaben ebenfalls als widersprüchlich erweisen, zumal sie weder jemals erwähnte, in P._______ wohnhaft gewesen zu sein, noch aussagte, sich mehrere Monate in K._______ oder lediglich einen Monat in L._______ aufgehalten zu haben (vgl. act. A15/14 S. 2 f.). Der pauschale Hinweis, es falle ihr schwer, sich zu erinnern, wann sie für wie lange in einer anderen Ortschaft gewesen sei, vermag nicht zu überzeugen. So darf selbst bei einer minderjährigen Person (die Beschwerdeführerin war im Anhörungszeitpunkt immerhin (...)-jährig) bei einem tatsächlich erlebten Sachverhalt erwartet werden, dass sie diesen in den wesentlichen Zügen wiederholt übereinstimmend und mit Realkennzeichen (so insbesondere Detailreichtum der Schilderung, freies assoziatives Erzählen, Interaktionsschilderung sowie inhaltliche Besonderheiten) versehen wiederzugeben vermag. Soweit sie zum Vorhalt widersprüchlicher und unlogischer Vorbringen auf die Rechtsprechung des Bundesverwaltungsgerichts verweist, gemäss welcher die Minderjährigkeit sowie eine grosse Zeitspanne zwischen den fluchtbegründenden Ereignissen und den Anhörungen eine Erklärung für unsubstanziierte Schilderungen sein könnten (vgl. Urteil des BVGer E-4050/2014 vom 21. Dezember 2015 E. 5.5), vermag sie aus diesem Hinweis angesichts des unterschiedlichen Sachverhalts im erwähnten Urteil nichts zu ihren Gunsten herzuleiten. So war die Beschwerdeführerin bei Verlassen ihres Heimatlandes bereits (...) Jahre alt und ihre Anhörung wurde neun Monate nach diesem Zeitpunkt - ohne dass in diesem Zeitraum nennenswerte respektive einschneidende Ereignisse stattgefunden hätten - durchgeführt, weshalb die entsprechende Rüge ins Leere stösst. Unter diesen Umständen braucht auf die weiteren, von der Vorinstanz aufgezeigten Ungereimtheiten und die diesbezüglichen Entgegnungen auf Beschwerdeebene nicht näher eingegangen zu werden. Insofern im vorliegenden Verfahren die Schutzwilligkeit der marokkanischen Behörden ebenfalls bestritten wird, kann wiederum auf die entsprechenden Ausführungen und anderslautenden Schlussfolgerungen im erwähnten Urteil des Bundesverwaltungsgerichts D-8092/2016 gleichen Datums verwiesen werden. Soweit die Beschwerdeführerin auf die eingereichten Bestätigungen der marokkanischen Behörden verweist, welche belegen würden, dass sie sich tatsächlich an die Polizei gewendet habe, um Anzeige zu erstatten, ist zunächst festzustellen, dass es sich bei den eingereichten Dokumenten lediglich um Übersetzungen von Dokumenten der marokkanischen Ermittlungs- und Gerichtsbehörden, nicht jedoch um Originale dieser Dokumente handelt. Die Beschwerdeführerin reichte mit Eingabe vom 21. Februar 2017 zumindest eine Kopie der Bestätigung vom (...) nach. Jedoch handelt es sich dabei um eine schwarz-weiss-Kopie schlechter Qualität, weshalb dieser aufgrund ihrer leichten Manipulierbarkeit keine Beweiskraft beigemessen werden kann. Die tatsächliche Existenz dieser Dokumente ist daher für das Bundesverwaltungsgericht nicht verifizierbar. Weiter weicht der in der erwähnten Bestätigung aufgeführte Name des Angeklagten ([...]) von den Ausführungen der Mutter der Beschwerdeführerin in deren Verfahren (D-8092/2016; act. A6/17 S. 3: [...]) ab. Sodann ist aus diesen Übersetzungen nur ersichtlich, dass im Falle der Beschwerdeführerin durch die Polizei eine Anzeige aufgenommen und das Verfahren am (...) an die Staatsanwaltschaft überwiesen respektive dass am (...) eine Befragung durchgeführt worden sei. Die Dokumente vermögen jedenfalls keinen Beleg für den geltend gemachten, angeblich fehlenden Schutzwillen der marokkanischen Behörden darzustellen. Gegen die von der Beschwerdeführerin erhobene Behauptung sprechen auch die zur Bekämpfung und Ahndung der häuslichen Gewalt eingeleiteten Bemühungen der heimatlichen Behörden. So werden seit dem Jahre 2005 in Spitälern und Gerichten spezielle interdisziplinäre Empfangsstellen für Opfer häuslicher Gewalt geschaffen, welche die Opfer beraten, unterstützen und Treffen mit Justizbehörden koordinieren. Seit dem Jahre 2007 gibt es Kampagnen zur Sensibilisierung von Polizei und Justiz für Fälle innerfamiliärer Gewalt. Zudem steht Opfern, falls sie keine Zuflucht bei ihrer Familie oder Nachbarn finden können, die Möglichkeit offen, eines der von Nichtregierungsorganisationen betriebenen Frauenhäuser aufzusuchen, wo auch Beratungen durchgeführt werden (vgl. SEM, Focus Marokko, Frauen in der marokkanischen Gesellschaft, Teil 3: Häusliche Gewalt, 22. Februar 2016). Schliesslich steht die tatsächliche Identität der Beschwerdeführerin in Ermangelung der Einreichung irgendwelcher Identitätsdokumente nach wie vor nicht fest. Da sie gemäss Ausführungen in der Eingabe vom 21. Februar 2017 offensichtlich in Kontakt mit ihrem Onkel stand, der die eingereichten Übersetzungen der Bestätigungen erhältlich machen und ihr in die Schweiz nachsenden konnte, wäre es ihr möglich und zumutbar gewesen, sich auch Kopien oder Abschriften ihrer Identitätsdokumente über diesen Onkel zu beschaffen.</w:t>
      </w:r>
    </w:p>
    <w:p>
      <w:r>
        <w:rPr>
          <w:b/>
        </w:rPr>
        <w:t>E. 4.3</w:t>
      </w:r>
    </w:p>
    <w:p>
      <w:r>
        <w:t>Unter Berücksichtigung der gesamten Umstände folgt, dass das SEM zu Recht die Flüchtlingseigenschaft der Beschwerdeführerin verneint und ihr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Marokko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sind weder allgemeine noch individuelle Gründe ersichtlich, die einem Wegweisungsvollzug der Beschwerdeführerin in ihre Heimat entgegenstehen würden. Die Beschwerdeführerin kann zusammen mit ihrer Mutter und den Halbgeschwistern, deren Asylgesuche mit Urteil gleichen Datums ebenfalls abgewiesen wurden, zurückkehren, weshalb sie in ihrer Heimat über ein soziales Beziehungsnetz verfügt. Sodann besitzt die Beschwerdeführerin eine achtjährige Schulbildung und begann zwei verschiedene Berufslehren (vgl. act. A15/14 S. 4 f.). Es ist ihr diesbezüglich zumutbar, nach einer Rückkehr eine der Berufslehren wieder aufzunehmen. Zur Überbrückung allfälliger Anfangsschwierigkeiten könnte die Beschwerdeführerin beim SEM Rückkehrhilfe beantragen. Insbesondere genügen blosse soziale und wirtschaftliche Schwierigkeiten, von denen die ansässige Bevölkerung im Allgemeinen betroffen ist, nicht, um eine konkrete Gefährdung im Sinne von Art. 83 Abs. 4 AuG darzustellen (vgl. BVGE 2010/41 E. 8.3.6 S. 591). In der Eingabe vom 21. Februar 2017 wurde vorgebracht, in Anbetracht der über längere Zeit erlittenen psychischen und physischen Misshandlungen durch den Stiefvater sei davon auszugehen, die Beschwerdeführerin sei dadurch traumatisiert worden. Sie habe jedoch keine psychologische oder psychiatrische Hilfe erhalten und die Vorinstanz habe es unterlassen, einen Arztbericht einzuholen. Diesbezüglich ist festzuhalten, dass im Rahmen der Mitwirkungspflicht (Art. 8 Abs. 1 Bst. d AsylG) psychische oder physische Beeinträchtigungen in geeigneter Form unaufgefordert geltend zu machen sind, sei dies mündlich im Rahmen einer Anhörung oder schriftlich durch die Partei oder der Rechtsvertretung, wobei zumindest eine Umschreibung und Konkretisierung der behaupteten gesundheitlichen Beschwerden erwartet werden dürfe (vgl. BVGE 2009/50 E. 10.2.2). Dies wurde vorliegend nicht gemacht, weshalb auf die diesbezüglichen, nicht weiter substanziierten Vorbringen nicht einzugehen ist.</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Gesuche um Gewährung der unentgeltlichen Prozessführung beziehungsweise um amtliche Rechtsverbeiständung (vgl. Art. 65 Abs. 1 VwVG und Art. 110a AsylG) sind unbesehen der ausgewiesenen Mittellosigkeit abzuweisen, da die Beschwerde gemäss den vorstehenden Erwägungen als aussichtslos zu bezeichnen ist und es daher an einer gesetzlichen Voraussetzung zu deren Gewährung fehlt.</w:t>
      </w:r>
    </w:p>
    <w:p>
      <w:r>
        <w:rPr>
          <w:b/>
        </w:rPr>
        <w:t>E. 8.2</w:t>
      </w:r>
    </w:p>
    <w:p>
      <w:r>
        <w:t>Bei diesem Ausgang des Verfahrens wären die Kosten der Beschwerdeführerin aufzuerlegen (Art. 63 Abs. 1 VwVG). Indessen sind in Anwendung von Art. 6 Bst. b des Reglements vom 21. Februar 2008 über die Kosten und Entschädigungen vor dem Bundesverwaltungsgericht (VGKE, SR 173.320.2) die Verfahrenskosten ganz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