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D-8083/2016 vom 18. Januar 2017</w:t>
      </w:r>
    </w:p>
    <w:p>
      <w:r>
        <w:t>Bundesverwaltungsgericht, 2017-01-18, DE</w:t>
      </w:r>
    </w:p>
    <w:p>
      <w:r>
        <w:rPr>
          <w:b/>
        </w:rPr>
        <w:t xml:space="preserve">Quelle: </w:t>
      </w:r>
      <w:r>
        <w:t>https://mcp.opencaselaw.ch/entscheid/bvger_D-8083_2016</w:t>
      </w:r>
    </w:p>
    <w:p>
      <w:r>
        <w:t>FR: TAF D-8083/2016 du 18 janvier 2017</w:t>
      </w:r>
    </w:p>
    <w:p>
      <w:r>
        <w:t>IT: TAF D-8083/2016 del 18 gennaio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Nichteintretenseintscheids entscheidet das Gericht endgültig (Art. 105 AsylG; Art. 83 Bst. d Ziff. 1 BGG).</w:t>
      </w:r>
    </w:p>
    <w:p>
      <w:r>
        <w:rPr>
          <w:b/>
        </w:rPr>
        <w:t>E. 1.3</w:t>
      </w:r>
    </w:p>
    <w:p>
      <w:r>
        <w:t>Die Beschwerde vom 29. Dezember 2016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Art. 50 sowie Art. 52 VwVG). Auf die Beschwerde ist einzutreten.</w:t>
      </w:r>
    </w:p>
    <w:p>
      <w:r>
        <w:rPr>
          <w:b/>
        </w:rPr>
        <w:t>E. 1.4</w:t>
      </w:r>
    </w:p>
    <w:p>
      <w:r>
        <w:t>Bezüglich der ZEMIS-Beschwerde ist die Beschwerdefrist noch nicht abgelaufen. Über Rechtsmittel kann jedoch vor Ablauf der Beschwerdefrist befunden werden, wenn die Rechtsmitteleingabe eindeutig als abschliessend zu verstehen und der Sachverhalt vollständig erstellt ist (EMARK 1997 Nr. 13 E. 1; EMARK 1996 Nr. 19 E. 3a und b). Dies ist im vorliegenden Fall zu bejahen.</w:t>
      </w:r>
    </w:p>
    <w:p>
      <w:r>
        <w:rPr>
          <w:b/>
        </w:rPr>
        <w:t>E. 1.5</w:t>
      </w:r>
    </w:p>
    <w:p>
      <w:r>
        <w:t>Die Beschwerdeverfahren D-8083/2016 und D-7606/2016 sind aufgrund ihrer Konnexität zu vereinigen. Im Verfahren D-7606/2016 verlangte der Beschwerdeführer den Erlass einer anfechtbaren Verfügung sowie die Änderung der ZEMIS-Eintragung. Durch den Erlass der Verfügung des SEM vom 29. Dezember 2016 betreffend die ZEMIS-Eintragung, welche nun Gegenstand des Verfahrens D-8083/2016 ist, ist das Beschwerdeverfahren D-7606/2016 gegenstandslos geworden. Letzteres ist folglich abzuschreiben.</w:t>
      </w:r>
    </w:p>
    <w:p>
      <w:r>
        <w:rPr>
          <w:b/>
        </w:rPr>
        <w:t>E. 2</w:t>
      </w:r>
    </w:p>
    <w:p>
      <w:r>
        <w:t>Die vorliegende Beschwerde richtet sich sowohl gegen den Nichteintre-tensentscheid betreffend das Asylgesuch als auch gegen die ZEMIS-Eintragung.</w:t>
      </w:r>
    </w:p>
    <w:p>
      <w:r>
        <w:rPr>
          <w:b/>
        </w:rPr>
        <w:t>E. 3.1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Hinsichtlich der ZEMIS-Berichtigung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3.3</w:t>
      </w:r>
    </w:p>
    <w:p>
      <w:r>
        <w:t>In Anwendung von Art. 37 VGG i.V.m. Art. 57 Abs. 1 VwVG sowie Art. 111a AsylG wurde auf die Durchführung eines Schriftenwechsels verzichtet.</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4.3</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Gemäss Art. 8 Abs. 4 Dublin-III-VO ist bei unbegleiteten Minderjährigen derjenige Staat zuständig, in welchem der Antrag auf internationalen Schutz gestellt worden ist, sofern es dem Wohl des Minderjährigen dient.</w:t>
      </w:r>
    </w:p>
    <w:p>
      <w:r>
        <w:rPr>
          <w:b/>
        </w:rPr>
        <w:t>E. 4.5</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A-4256/2015 vom 15. Dezember 2015 E. 3.3, A-2291/2015 vom 17. August 2015 E. 4.3 und A-3555/2013 vom 26. März 2014 E. 3.3, je m.w.H.).</w:t>
      </w:r>
    </w:p>
    <w:p>
      <w:r>
        <w:rPr>
          <w:b/>
        </w:rPr>
        <w:t>E. 5.4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A-4256/2015 vom 15. Dezember 2015 E. 3.4, A-3555/2013 vom 26. März 2014 E. 3.4 und A-181/2013 vom 5. November 2013 E. 7.1, je m.w.H.; vgl. ferner Urteil des BGer 1C_240/2012 vom 13. August 2012 E. 3.2).</w:t>
      </w:r>
    </w:p>
    <w:p>
      <w:r>
        <w:rPr>
          <w:b/>
        </w:rPr>
        <w:t>E. 6.1</w:t>
      </w:r>
    </w:p>
    <w:p>
      <w:r>
        <w:t>Streitgegenstand des vorliegenden Verfahrens ist die Frage, ob das SEM zu Recht von der Volljährigkeit des Beschwerdeführers ausgegangen ist respektive zu Recht eine Anpassung des Geburtsdatums im ZEMIS vorgenommen hat. So wurde die Beschwerde einzig damit begründet, dass das SEM zu Unrecht von der Volljährigkeit des Beschwerdeführers ausgehe.</w:t>
      </w:r>
    </w:p>
    <w:p>
      <w:r>
        <w:rPr>
          <w:b/>
        </w:rPr>
        <w:t>E. 6.2</w:t>
      </w:r>
    </w:p>
    <w:p>
      <w:r>
        <w:t>Die in der Beschwerde aufgeworfene Frage, ob im asylrechtlichen Verfahren betreffend das Alter der asylsuchenden Person die Beweisregeln des Datenschutzrechts zu gelten hätten, kann vorliegend offenbleiben, da das vom Beschwerdeführer angegebene Geburtsdatum respektive seine angebliche Minderjährigkeit weder nach asylrechtlichen noch nach datenschutzrechtlichen Beweisregeln rechtsgenüglich erstellt ist.</w:t>
      </w:r>
    </w:p>
    <w:p>
      <w:r>
        <w:rPr>
          <w:b/>
        </w:rPr>
        <w:t>E. 6.3</w:t>
      </w:r>
    </w:p>
    <w:p>
      <w:r>
        <w:t>Im Asylverfahren ist die Minderjährigkeit - der allgemeinen asylrechtlichen Beweisregel folgend - von der beschwerdeführenden Person zumindest glaubhaft zu machen (vgl. Urteil des BVGer E-6883/2016 vom 28. November 2016 E. 2.3). Über die Glaubhaftigkeit ist im Rahmen einer Gesamtwürdigung zu befinden.</w:t>
      </w:r>
    </w:p>
    <w:p>
      <w:r>
        <w:rPr>
          <w:b/>
        </w:rPr>
        <w:t>E. 6.4</w:t>
      </w:r>
    </w:p>
    <w:p>
      <w:r>
        <w:t>Gegen die Minderjährigkeit spricht insbesondere die forensische Altersschätzung, welche zu einem eindeutigen Fazit gelangt, wonach der Beschwerdeführer mit einer an Sicherheit grenzenden Wahrscheinlichkeit das 18. Lebensjahr vollendet und die Volljährigkeit erreicht habe. Der Einwand des Beschwerdeführers, dieser Alterseinschätzung sei (jeglicher) Beweiswert abzusprechen, erweist sich grösstenteils als unbegründet. Die Altersabklärung basiert auf den Empfehlungen der AGFAD für Altersschätzungen und die Gutachter sind gemäss eigenen Angaben durch die AGFAD zertifiziert. Im Gutachten wird einleitend auf den Einfluss der ethnischen Zugehörigkeit auf die untersuchten Altersmerkmale eingegangen und festgehalten, dass sich aufgrund der aktuellen Literatur keine Anhaltspunkte für gravierende interethnische Differenzen im zeitlichen Verlauf der Skelettreifung und der sexuellen Reifeentwicklung ergäben. Ein möglicher Einfluss sei durch die medizinische und ökonomische Modernisierung einer Population gegeben. Bei geringem Modernisierungsstand komme es zu einer Altersunterschätzung. Ethnische Einflüsse auf die gesamte Zahnentwicklung würden kontrovers diskutiert; sofern dies von Relevanz sei, werde darauf eingegangen. Im auf Beschwerdeebene eingereichten Übersichtsreferat (Schmeling A., Olze A., Reisinger W., Geserick G: Der Einfluss der Ethnie auf die bei strafrechtlichen Altersschätzungen untersuchten Merkmale. In Rechtsmedizin 2001 - 11) wird dargelegt, dass für alle ethnischen Hauptgruppen Ossifikationsstudien vorlägen. Die Skelettreifung vollziehe sich in identischen, definierten Stadien. In der relevanten Altersgruppe (der Jugendlichen und jungen Erwachsenen; Anmerkung des Gerichts) habe die ethnische Zugehörigkeit offenbar keinen nennenswerten Einfluss auf die Ossifikationsgeschwindigkeit. Diese werde eher durch den sozioökonomischen Status einer Population bestimmt. Geringerer sozioökonomischer Status führe zu einer Entwicklungsverzögerung und damit zu einer Altersunterschätzung. Bei der Zahnentwicklung sei zwischen Zahndurchbruch und Zahnmineralisation zu unterscheiden, wobei der dritte Molar (Weisheitszahn; Anmerkung des Gerichts) für die forensische Altersschätzung eine Sonderstellung einnehme. Für den Durchbruch der dritten Molaren seien zum Teil beträchtliche Populationsunterschiede beschrieben worden. Die wenigen aussagekräftigen Studien zur Weisheitszahnmineralisation seien meist auf die frühen Entwicklungsstadien beschränkt. Aus diesen könne geschlossen werden, dass die frühen Stadien der Weisheitszahnmineralisation bei schwarzen US-Amerikanern etwa ein Jahr früher erreicht worden seien - bei den späten Stadien seien die Unterschiede geringer ausgefallen. Eine Studie bei schwarzen und weissen US-Amerikanern im Alter von 14,1 bis 24,9 Jahren habe keine signifikanten Unterschiede im zeitlichen Verlauf der Weisheitszahnmineralisation feststellen können. So wurde im Fazit in Ziffer 4 denn auch festgehalten, dass sich auf der Grundlage des vorliegenden Schrifttums in der relevanten Altersgruppe keine Anhaltspunkte für gravierende interethnische Differenzen im zeitlichen Ablauf der Weisheitszahnmineralisation ergäben. Die Gutachter haben vorliegend dargelegt, dass der radiologische Befund des linken Handskeletts einem medianen Alter von (...) Jahren entspreche und somit knapp unter der Volljährigkeit liege. Aufgrund der Mineralisation der Weisheitszähne ergebe sich unter Berücksichtigung der Ethnizität ein Mindestalter von (...) Jahren. Das Durchschnittsalter liege bei (...) Jahren und ein Alter zwischen (...) und (...) Jahren oder älter sei aus forensisch-odontologischer Sicht wahrscheinlich. Die Gutachter gehen davon aus, dass der in Eritrea tiefere medizinische und sozioökonomische Status zu einer Verzögerung der Knochenreifung geführt haben könnte, was zu einer Altersunterschätzung führe. Da die Zahnentwicklung davon weitgehend unabhängig sei, erachteten sie den Zahnbefund im vorliegenden Fall als massgeblicher. Diese Beurteilung lässt sich in Übereinstimmung mit der beigezogenen rechtsmedizinischen Literatur bringen. Die aufgrund einer Panoramaschichtaufnahme des Gebisses vorgenommene zahnärztliche Altersschätzung ergibt unter Berücksichtigung der Ethnizität ein Mindestalter das deutlich über der Volljährigkeit liegt. Die Argumentation im Gutachten, die Verzögerung der Knochenreifung könne auf einen tieferen medizinischen und sozioökonomischen Status zurückzuführen sein, ist plausibel, zumal der Beschwerdeführer angab, Hunger gelitten zu haben (vgl. act. A16 S. 12). Ob dieser tiefere medizinische und sozioökonomische Status auf einen Aufenthalt in Eritrea oder einen Aufenthalt im Sudan zurückgeht, ist unerheblich, so dass sich der Einwand, das Gutachten gehen von falschen Prämissen aus, da der Beschwerdeführer nicht lange in Eritrea gelebt habe, unbegründet ist. Einzig betreffend das Argument, das Gutachten äussere sich widersprüchlich zu etwaigen Entwicklungsstörungen, sind die Einwände in der Beschwerdeschrift berechtigt. Hinsichtlich des Arguments, in einem vergleichbaren Fall (N [...]) habe eine Altersschätzung aufgrund der Diskrepanzen zwischen dem Knochenalter und dem Zahnalter nicht vorgenommen werden können, ist zu bemerken, dass Altersabklärungen einzelfallspezifisch erfolgen und sich die Aussage des einen nicht unbesehen auf das andere übertragen lässt. Zudem lag das vom betreffenden Asylsuchenden im Verfahren N (...) angegebene Alter - im Gegensatz zum Beschwerdeführer - nur wenige Monate unterhalb der Volljährigkeit und es wurde zudem eine Untersuchung des Schlüsselbeins vorgenommen, so dass sich die beiden Fälle kaum vergleichen lassen. Diese Einwände sind zwar geeignet, die Aussagekraft des Gutachtens in gewisser Weise zu relativieren, ohne jedoch dem Gutachten gänzlich den Beweiswert absprechen zu können. Somit stellt das Gutachten durchaus ein Indiz für die Volljährigkeit des Beschwerdeführers dar. In der Beschwerde wird berechtigterweise darauf hingewiesen, dass das Resultat des Altersgutachtens nur eines der Elemente bei der Beurteilung der Glaubhaftigkeit der geltend gemachten Minderjährigkeit ist. Es trifft zwar zu, dass sich der Beschwerdeführer in der BzP widerspruchsfrei zu seinem Alter und den Altersunterschieden zu seinen Geschwistern äusserte. Auch dieser Umstand ist jedoch lediglich als ein Indiz zu würdigen, und lässt nicht per se auf die Minderjährigkeit schliessen. Denn es gilt ebenfalls zu beachten, dass der Beschwerdeführer bis anhin keine Beweismittel für sein angebliches Alter eingereicht hat. Der Beschwerdeführer hat ausgeführt, dass er mit seinen Angehörigen in Kontakt stehe und dass er sich um die Beibringung von Beweismitteln bemühe. Es kann zudem auch davon ausgegangen werden, dass etwa im Zusammenhang mit seinem Schulbesuch Dokumente bestehen, aus welchen sein Alter ersichtlich ist. So gab er anlässlich der BzP zu Protokoll, dass seine Tante bei der Registrierung in der Schule sein Alter angegeben habe (vgl. act. A16 S. 3). Der Beschwerdeführer hat jedoch, nachdem er vom SEM auf seine Mitwirkungspflicht hingewiesen worden ist, lediglich eine Kopie der Identitätskarte seines Vaters eingereicht, welcher keine direkten Aussagen zu seinem Alter entnommen werden können. Wieso der Beschwerdeführer trotz Kontakt mit seinen Verwandten nicht in der Lage ist, Dokumente einzureichen, welche sich direkt auf sein Alter beziehen, ist nicht nachvollziehbar und wird vom - von einer rechtskundigen Person vertretenen - Beschwerdeführer auch nicht erläutert. Dieses Verhalten ist ebenfalls als Indiz für die Volljährigkeit des Beschwerdeführers zu würdigen. Aufgrund einer Würdigung dieser Elemente ist es dem Beschwerdeführer nicht gelungen, seine Minderjährigkeit glaubhaft zu machen. Aus den Akten sind auch keine anderen Gründe ersichtlich, welche eine Zuständigkeit der Schweiz begründen könnten, wobei auf die zutreffenden Ausführungen in der angefochtenen Verfügung verwiesen werden kann. Da es dem Beschwerdeführer nicht gelungen ist, seine Minderjährigkeit glaubhaft zu machen, erübrigt sich eine Auseinandersetzung mit dem Argument, die BzP erfülle die Anforderungen an eine kindergerechte Anhörung nicht. Folglich ist der Nichteintretensentscheid des SEM gestützt auf Art. 31a Abs. 1 Bst. b AsylG zu bestätigen.</w:t>
      </w:r>
    </w:p>
    <w:p>
      <w:r>
        <w:rPr>
          <w:b/>
        </w:rPr>
        <w:t>E. 6.5</w:t>
      </w:r>
    </w:p>
    <w:p>
      <w:r>
        <w:t>Zum gleichen Ergebnis gelangt man bei Berücksichtigung der datenschutzrechtlichen Grundsätze. Vorliegend lässt sich das exakte Geburtsdatum des Beschwerdeführers nicht beweisen. Somit sind diejenigen Daten einzutragen, welche am wahrscheinlichsten - also überwiegend wahrscheinlich - sind. Aufgrund des (wenn auch nur beschränkt aussagekräftigen) Gutachtens, welches festhält, dass der Beschwerdeführer mit an Sicherheit grenzender Wahrscheinlichkeit das 18. Lebensjahr vollendet habe und welches zudem festhält, dass sich das von ihm angegebene Alter mit den erhobenen Befunden nicht vereinbaren lasse, sowie dem Umstand, dass der Beschwerdeführer keine Dokumente betreffend sein Alter einreichte, ohne dies nachvollziehbar erklären zu können, erscheint das vom SEM erfasste Geburtsdatum wahrscheinlicher als das vom Beschwerdeführer angegebene, welches lediglich auf seinen Angaben fusst. Zusammenfassend ist zwar weder die Richtigkeit des eingetragenen Geburtsdatums noch die des behaupteten Geburtsdatums bewiesen. Aufgrund aller Beweismittel und Indizien (forensische Altersbestimmung, [Aussage-]Verhalten) steht indes fest, dass die Volljährigkeit des Beschwerdeführers wahrscheinlicher ist als die behauptete Minderjährigkeit. Das im ZEMIS eingetragene Geburtsdatum mit (...) ist daher unverändert zu belassen. Daran ändert auch der Umstand nichts, dass der aktuelle ZEMIS-Eintrag auf einem fiktiven Geburtstag des Beschwerdeführers beruht und daher mit grösster Wahrscheinlichkeit nicht richtig ist. Das lässt sich in Fällen, bei denen das Geburtsdatum unbekannt ist und stattdessen praxisgemäss der 1. Januar als fiktiver Geburtstag erfasst wird, nicht vermeiden (vgl. Urteile des BVGer A-4313/2015 vom 14. Dezember 2015 E. 5, A-1732/2015 vom 13. Juli 2015 E. 5.3 und A-1582/2014 vom 9. Oktober 2014 E. 6). Der bestehende ZEMIS-Eintrag ist daher unverändert zu belassen und weiterhin mit einem Bestreitungsvermerk zu versehen.</w:t>
      </w:r>
    </w:p>
    <w:p>
      <w:r>
        <w:rPr>
          <w:b/>
        </w:rPr>
        <w:t>E. 7</w:t>
      </w:r>
    </w:p>
    <w:p>
      <w:r>
        <w:t>Die Beschwerden sind somit abzuweisen, soweit sie nicht als gegenstandslos geworden abzuschreiben sind.</w:t>
      </w:r>
    </w:p>
    <w:p>
      <w:r>
        <w:rPr>
          <w:b/>
        </w:rPr>
        <w:t>E. 8</w:t>
      </w:r>
    </w:p>
    <w:p>
      <w:r>
        <w:t>Bei diesem Ausgang des Verfahrens sind die Kosten dem Beschwerdeführer aufzuerlegen (Art. 63 Abs. 1 VwVG und Art. 5 des Reglements vom 21. Februar 2008 über die Kosten und Entschädigungen vor dem Bundesverwaltungsgericht [VGKE, SR 173.320.2]) und auf insgesamt Fr. 800.- festzusetzen (Art. 1-3 VGKE). Der Antrag auf Gewährung der unentgeltlichen Prozessführung gemäss Art. 65 Abs. 1 VwVG ist abzuweisen, da sich die Rechtsbegehren des Beschwerdeführers als aussichtslos erwiesen haben.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