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D-8078/2024 vom 1. Oktober 2025</w:t>
      </w:r>
    </w:p>
    <w:p>
      <w:r>
        <w:t>Bundesverwaltungsgericht, 2025-10-01, DE</w:t>
      </w:r>
    </w:p>
    <w:p>
      <w:r>
        <w:rPr>
          <w:b/>
        </w:rPr>
        <w:t xml:space="preserve">Quelle: </w:t>
      </w:r>
      <w:r>
        <w:t>https://mcp.opencaselaw.ch/entscheid/bvger_D-8078_2024</w:t>
      </w:r>
    </w:p>
    <w:p>
      <w:r>
        <w:t>FR: TAF D-8078/2024 du 1 octobre 2025</w:t>
      </w:r>
    </w:p>
    <w:p>
      <w:r>
        <w:t>IT: TAF D-8078/2024 del 1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 nach fristgerechter Leistung des Kostenvorschusses – einzutreten.</w:t>
      </w:r>
    </w:p>
    <w:p>
      <w:r>
        <w:t>D-8078/2024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die Verletzung des Untersuchungsgrundsatzes gerügt. Die Vorinstanz habe den rechtserheblichen Sachverhalt unvollstän- dig und falsch festgestellt, was zu einer Ablehnung des Asylgesuchs ge- führt habe. Die Verfügung sei pauschal und undifferenziert.</w:t>
      </w:r>
    </w:p>
    <w:p>
      <w:r>
        <w:rPr>
          <w:b/>
        </w:rPr>
        <w:t>E. 4.2</w:t>
      </w:r>
    </w:p>
    <w:p>
      <w:r>
        <w:t>Aus den Akten sind keine Hinweise erkennbar, dass die Vorinstanz ihre Untersuchungspflicht verletzt, mithin den rechtserheblichen Sachverhalt nicht ausreichend erstellt hätte. Etwas anderes wird in der Beschwerde denn auch nicht substantiiert dargelegt. Dass die Vorinstanz den vorgetra- genen Sachverhalt nicht wie von den Beschwerdeführerinnen gewünscht würdigt, stellt keine unvollständige oder falsche Sachverhaltsfeststellung dar. Unklar bleibt sodann angesichts der ausführlichen vorinstanzlichen Begründung, inwiefern die angefochtene Verfügung pauschal und undiffe- renziert ausgefallen sein soll. Für die in der Beschwerde neu geltend ge- machten Informationen wird auf die nachfolgenden Ausführungen (vgl. E. 7.2) verwiesen. Der Antrag auf Rückweisung der Sache zur Neubeurtei- lung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D-8078/2024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stellt in seinem Entscheid zur Frage der Flüchtlingseigen- schaft und Asylgewährung fest, die Vorbringen der Beschwerdeführerin hielten den Anforderungen an die Flüchtlingseigenschaft gemäss Art. 3 AsylG sowie denjenigen an die Glaubhaftigkeit gemäss Art. 7 AsylG nicht stand. Zur Begründung führt es aus, dass die von der Beschwerdeführerin geltend gemachten Nachteile in ihrer Kindheit, Schulzeit und im Arbeitsle- ben aufgrund ihrer kurdischen Ethnie nicht als ernsthaft zu qualifizieren und damit flüchtlingsrechtlich nicht relevant seien. Die geltend gemachte Tätig- keit für die Yesil Sol Parti und die HDP führe zu keiner begründeten Furcht vor einer zukünftigen flüchtlingsrechtlich relevanten Verfolgung, da diese ein behördliches Interesse an ihrer Person nicht zu begründen vermöge und sie nicht in exponierter Stellung für die HDP tätig gewesen sei. Ihr Vor- bringen betreffend die eingeleiteten Ermittlungs- und Untersuchungsver- fahren seien ebenfalls nicht geeignet, die Flüchtlingseigenschaft zu be- gründen, da offen sei, ob die Ermittlungen und Untersuchungen zur Eröff- nung eines Gerichtsverfahrens oder einer späteren Verurteilung aus einem flüchtlingsrechtlich relevanten Motiv führen würden. Der erwähnte aber nicht zu den Akten gereichte Festnahmebeschluss könne inhaltlich nicht beurteilt werden, aber es sei davon auszugehen, dass es sich dabei – wie in ähnlich gelagerten Fällen – um einen Vorführbefehl zwecks Einver- nahme handle. Eine Inhaftierung erscheine wenig wahrscheinlich, da die der Beschwerdeführerin vorgeworfenen Delikte keinen Haftgrund gemäss Art. 100 Abs. 3 der türkischen Strafprozessordnung (tStPO) darstellen wür- den. Bei einer Vollstreckung des Vorführbefehls sei nicht von einem syste- matischen Misshandlungs- oder Folterrisiko auszugehen. Die Einträge auf Facebook und Twitter würden sodann in einem engen zeitlichen Zusam- menhang mit ihrer Ausreise und dem Asylgesuch in der Schweiz stehen.</w:t>
      </w:r>
    </w:p>
    <w:p>
      <w:r>
        <w:t>D-8078/2024 Seite 7 Auf den eingereichten Beweismitteln seien der 23. Juni 2023 sowie der 4. und 21. September 2023 als Deliktsdaten vermerkt. Die Beschwer-de- führerin vermittle in den sozialen Medien weder den Eindruck einer politi- schen Aktivistin, noch würden ihre Aktivitäten auf grosse Resonanz stos- sen. Es sei daher davon auszugehen, dass sie die in der Türkei gegen sie hängige Strafverfolgung mit hoher Wahrscheinlichkeit bewusst eingeleitet habe oder habe einleiten lassen, um subjektive Nachfluchtgründe zu be- gründen und somit einen Schutzstatus in der Schweiz zu erlangen. Eine solche Vorgehensweise sei rechtsmissbräuchlich und verdiene gemäss ei- nem allgemeinen Rechtsgrundsatz keinen Schutz. Hinzu komme, dass ihre Aussagen anlässlich der Anhörung zu ihren Aktivitäten in den sozialen Me- dien und den eröffneten Verfahren vage und betreffend die eingereichten Dokumente widersprüchlich ausgefallen seien. Die gegen die Beschwer- deführerin erhobenen Vorwürfe (Präsidentenbeleidigung und Terrorpropa- ganda) seien zudem nicht offensichtlich haltlos, weshalb die Eröffnung ei- nes Ermittlungs- und Untersuchungsverfahrens aus rechtsstaatlicher Sicht nachvollziehbar sei. Die Konsultation der Asylverfahren der Eltern und Ge- schwister der Beschwerdeführerin in der Schweiz habe zu keinem anderen Ergebnis geführt und die Beschwerdeführerin habe auch keine Probleme mit direktem Bezug zu den genannten Familienmitgliedern geltend ge- macht.</w:t>
      </w:r>
    </w:p>
    <w:p>
      <w:r>
        <w:rPr>
          <w:b/>
        </w:rPr>
        <w:t>E. 6.2</w:t>
      </w:r>
    </w:p>
    <w:p>
      <w:r>
        <w:t>Die Beschwerdeführerin gibt in ihrer Beschwerde den Inhalt der vor- instanzlichen Verfügung wieder und erklärt, dass nicht nur zwei, sondern fünf Strafverfahren gegen sie eröffnet worden seien. Sie beherrsche die Fachbegriffe nicht, weshalb es zu einigen falschen Informationen gekom- men sei. Ihr Mann sei am Tag der Beschwerdeeinreichung um 5 Uhr zu- hause von Antiterroreinheiten schikaniert und bedroht worden. Sie werde in der Türkei einen Anwalt bevollmächtigen, damit sie die Akten bezüglich der Ermittlung gegen ihren Ehemann besorgen und erfahren könne, worum es gehe. Bei einer Rückkehr in die Türkei würde sie misshandelt und ge- foltert werden.</w:t>
      </w:r>
    </w:p>
    <w:p>
      <w:r>
        <w:rPr>
          <w:b/>
        </w:rPr>
        <w:t>E. 7.1</w:t>
      </w:r>
    </w:p>
    <w:p>
      <w:r>
        <w:t>Das Bundesverwaltungsgericht gelangt nach Prüfung der Akten zum Schluss, dass das SEM zu Recht zur Erkenntnis gelangt ist, die geltend gemachten Verfolgungsvorbringen würden weder den Anforderungen von Art. 3 AsylG an die flüchtlingsrechtliche Beachtlichkeit noch den Anforde- rungen an die Glaubhaftigkeit gemäss Art. 7 AsylG genügen, weshalb die Flüchtlingseigenschaft zu verneinen und das Asylgesuch abzuweisen sei. Auf die Argumente der Vorinstanz kann – mit den nachfolgenden</w:t>
      </w:r>
    </w:p>
    <w:p>
      <w:r>
        <w:t>D-8078/2024 Seite 8 Ergänzungen – verwiesen werden. Wie sogleich zu zeigen sein wird, ver- mögen die unsubstantiierten Einwände in der Beschwerdeschrift zu keiner anderen Einschätzung zu führen.</w:t>
      </w:r>
    </w:p>
    <w:p>
      <w:r>
        <w:rPr>
          <w:b/>
        </w:rPr>
        <w:t>E. 7.2</w:t>
      </w:r>
    </w:p>
    <w:p>
      <w:r>
        <w:t>Die Beschwerdeführerin belässt es in ihrer Beschwerde im Wesentli- chen dabei, den Inhalt der vorinstanzlichen Verfügung wiederzugeben. Aus dem Einwand betreffend Anzahl hängiger Strafverfahren kann sie nichts zu ihren Gunsten ableiten, da unsubstantiiert bleibt, was Gegenstand der drei zusätzlichen Strafverfahren sein soll und keine entsprechenden Beweis- mittel eingereicht worden sind. Der sowohl im vorinstanzlichen Verfahren als auch im Beschwerdeverfahren vertretenen Beschwerdeführerin hätte genügend Zeit zur Verfügung gestanden, um diese Dokumente zu beschaf- fen und einzureichen. Zudem basiert die in der vorinstanzlichen Verfügung aufgeführte Angabe zur Anzahl der Strafverfahren auf der Aussage der Be- schwerdeführerin (vgl. SEM-Akten act. […]-19 F 58 ff.), und diese Aussage hat nichts mit Kenntnissen von Fachbegriffen zu tun, sondern mit einer kor- rekten Darstellung des Sachverhalts. Soweit die Beschwerdeführerin auf Beschwerdeebene ein neues Ereignis (Schikane und Bedrohung ihres Ehemannes durch die Antiterroreinheit) vorbringt, ist ihr entgegenzuhalten, dass dieses Vorbringen (ebenfalls) unsubstantiiert und unbelegt blieb, wes- halb sie auch daraus nichts zu ihren Gunsten ableiten kann. Ebenso wenig besteht eine Veranlassung, allein gestützt auf die blosse Behauptung der Beschwerdeführerin weitere Abklärungen vorzunehmen oder durch die Vo- rinstanz vornehmen zu lassen. Darüber hinaus ist anzumerken, dass ge- mäss Rechtsprechung des Bundesverwaltungsgerichts allein der Um- stand, dass ein Strafverfahren wegen Präsidentenbeleidigung und/oder Terrorpropaganda hängig ist, noch nicht zur Annahme begründeter Furcht vor flüchtlingsrechtlich relevanter Verfolgung führt. Dies unter anderem deshalb, weil nach gerichtlicher Erkenntnis die Wahrscheinlichkeit einer späteren Verurteilung durch ein Gericht sehr tief ist und einer solchen auch nicht in genereller Weise ein Politmalus zugrunde liegen dürfte. Im Einzel- fall ist aber zu prüfen, ob Risikofaktoren bestehen, welche im konkreten Fall auf eine erhöhte Gefahr flüchtlingsrechtlich motivierter Bestrafung schliessen lassen könnten. Risikofaktoren stellen dabei insbesondere frühere, einschlägige Verurteilungen sowie ein exponiertes politisches Pro- fil dar (vgl. Referenzurteil E-4103/2024 vom 8. November 2024 E. 8.7 f.). Den Akten lässt sich keine Verurteilung entnehmen und die Beschwerde- führerin macht eine solche auch nicht geltend. Sie verfügt – wie die Vo- rinstanz zutreffend festgestellt hat – über kein exponiertes politisches Profil (vgl. angefochtene Verfügung Ziff. II S. 8 f.). Es sind – insbesondere auch unter Berücksichtigung der familiären Konstellation – keine Risikofaktoren</w:t>
      </w:r>
    </w:p>
    <w:p>
      <w:r>
        <w:t>D-8078/2024 Seite 9 ersichtlich, weshalb eine erhöhte Gefahr flüchtlingsrechtlich motivierter Be- strafung zu verneinen ist.</w:t>
      </w:r>
    </w:p>
    <w:p>
      <w:r>
        <w:rPr>
          <w:b/>
        </w:rPr>
        <w:t>E. 7.3</w:t>
      </w:r>
    </w:p>
    <w:p>
      <w:r>
        <w:t>Schliesslich führt auch das unsubstantiierte Vorbringen der Beschwer- deführerin betreffend eine allgemeine Angst vor Misshandlung und Folter, welche sie an einer Rückkehr in die Türkei hindere, nicht zu einem anderen Ergebnis, da für eine begründete Furcht konkrete und objektive Anhalts- punkt fehlen. Eine Anerkennung der Flüchtlingseigenschaft kann allein aus der subjektiven Furcht nicht abgeleitet werden.</w:t>
      </w:r>
    </w:p>
    <w:p>
      <w:r>
        <w:rPr>
          <w:b/>
        </w:rPr>
        <w:t>E. 7.4</w:t>
      </w:r>
    </w:p>
    <w:p>
      <w:r>
        <w:t>Der Vollständigkeit halber bleibt anzumerken, dass die bekannten und bedauerlichen Schikanen und Diskriminierungen der kurdischen Bevölke- rung – ohne deren Tragweite zu verkennen – mangels hinreichender Inten- sität nicht als ernsthafte Nachteile im Sinne von Art. 3 Abs. 2 AsylG qualifi- ziert werden können. Für die Annahme einer Kollektivverfolgung gelten praxisgemäss strenge Anforderungen (vgl. BVGE 2014/32 E. 6.1; 2013/12 E. 6), die im Falle der Kurden in der Türkei nicht erfüllt sind. Diese Ein- schätzung bleibt trotz der sich seit dem Putschversuch im Jahr 2016 ver- schlechternden Situation der Menschenrechte in der Türkei gültig (vgl. Re- ferenzurteil des BVGer E-4103/2024 vom 8. November 2024 E. 7.1 m.w.H.; sowie statt vieler BVGer E-11/2025 vom 26. März 2025 E. 6.2).</w:t>
      </w:r>
    </w:p>
    <w:p>
      <w:r>
        <w:rPr>
          <w:b/>
        </w:rPr>
        <w:t>E. 7.5</w:t>
      </w:r>
    </w:p>
    <w:p>
      <w:r>
        <w:t>Zusammenfassend ist festzuhalten, dass es der Beschwerdeführerin nicht gelungen ist, in Bezug auf sie selbst oder ihre Tochter eine im Sinne von Art. 3 AsylG relevante Verfolgung respektive eine begründete Furcht vor asylrelevanten Nachteilen nachzuweisen oder glaubhaft zu machen. Die Vorinstanz hat die Asylgesuche der Beschwerdeführerinnen demzu- 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t>D-8078/2024 Seite 10</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 schwerdeführerinnen nicht gelungen ist, eine asylrechtlich erhebliche Ge- fährdung nachzuweisen oder glaubhaft zu machen, kann der in Art. 5 AsylG verankerte Grundsatz der Nichtrückschiebung im vorliegenden Ver- fahren keine Anwendung finden. Eine Rückkehr der Beschwerdeführerin- nen in den Heimatstaat ist demnach unter dem Aspekt von Art. 5 AsylG rechtmässig.</w:t>
      </w:r>
    </w:p>
    <w:p>
      <w:r>
        <w:t>D-8078/2024 Seite 11</w:t>
      </w:r>
    </w:p>
    <w:p>
      <w:r>
        <w:rPr>
          <w:b/>
        </w:rPr>
        <w:t>E. 9.2.5</w:t>
      </w:r>
    </w:p>
    <w:p>
      <w:r>
        <w:t>Sodann ergeben sich weder aus den Aussagen der Beschwerdefüh- rerin noch aus den Akten Anhaltspunkte dafür, dass sie oder ihre Tochter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Beschwerdeführerinnen eine kon- krete Gefahr ("real risk") nachweisen oder glaubhaft machen, dass ihnen im Fall einer Rückschiebung Folter oder unmenschliche Behandlung dro- hen würde (vgl. Urteil des EGMR Saadi gegen Italien vom 28. Februar 2008, Grosse Kammer 37201/06, §§ 124–127 m.w.H.). Nach den vorste- henden Ausführungen gelingt ihnen das nicht. Auch die allgemeine Men- 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keine Situation allgemeiner Gewalt (vgl. Refe- renzurteil BVGer E-4103/2024 vom 8. November 2024 E. 13.2).</w:t>
      </w:r>
    </w:p>
    <w:p>
      <w:r>
        <w:rPr>
          <w:b/>
        </w:rPr>
        <w:t>E. 9.3.3</w:t>
      </w:r>
    </w:p>
    <w:p>
      <w:r>
        <w:t>Das SEM hat sodann zutreffend darauf hingewiesen, dass die Be- schwerdeführerinnen zwar aus der von den Erdbeben betroffenen Provinz Gaziantep stammen, aber der Vollzug dorthin sich im konkreten Fall als zumutbar erweist. Die Beschwerdeführerin ist gut ausgebildet und hat Ar- beitserfahrung als Ausbildnerin. Ihr Ehemann und zwei weitere Töchter le- ben noch dort und sie hat zahlreiche weitere Verwandte und verfügt damit über ein stabiles Beziehungsnetz. Die Familie besitzt Wohneigentum, eine Wohnmöglichkeit ist damit gegeben. Zudem leben die Eltern und Ge- schwister der Beschwerdeführerin in der Schweiz und können die Familie im Heimatstaat bei Bedarf auch unterstützen. Im Übrigen kann auf die Aus- führungen der Vorinstanz verwiesen werden, denen in der Beschwerde nichts Stichhaltiges entgegengesetzt wird. Es bestehen – auch unter</w:t>
      </w:r>
    </w:p>
    <w:p>
      <w:r>
        <w:t>D-8078/2024 Seite 12 Berücksichtigung der zutreffenden Argumente der Vorinstanz zum Kindes- wohl – keine Anhaltspunkte, dass der Vollzug der Wegweisung aus indivi- duellen Gründen nicht zumutbar sein könnte.</w:t>
      </w:r>
    </w:p>
    <w:p>
      <w:r>
        <w:rPr>
          <w:b/>
        </w:rPr>
        <w:t>E. 9.3.4</w:t>
      </w:r>
    </w:p>
    <w:p>
      <w:r>
        <w:t>Nach dem Gesagten erweist sich der Vollzug der Wegweisung auch als zumutbar.</w:t>
      </w:r>
    </w:p>
    <w:p>
      <w:r>
        <w:rPr>
          <w:b/>
        </w:rPr>
        <w:t>E. 9.4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den Beschwerdefüh- rerinnen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w:t>
      </w:r>
    </w:p>
    <w:p>
      <w:r>
        <w:t>(Dispositiv nächste Seite)</w:t>
      </w:r>
    </w:p>
    <w:p>
      <w:r>
        <w:t>D-8078/2024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