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D-8078/2015 vom 31. Dezember 2015</w:t>
      </w:r>
    </w:p>
    <w:p>
      <w:r>
        <w:t>Bundesverwaltungsgericht, 2015-12-31, DE</w:t>
      </w:r>
    </w:p>
    <w:p>
      <w:r>
        <w:rPr>
          <w:b/>
        </w:rPr>
        <w:t xml:space="preserve">Quelle: </w:t>
      </w:r>
      <w:r>
        <w:t>https://mcp.opencaselaw.ch/entscheid/bvger_D-8078_2015</w:t>
      </w:r>
    </w:p>
    <w:p>
      <w:r>
        <w:t>FR: TAF D-8078/2015 du 31 décembre 2015</w:t>
      </w:r>
    </w:p>
    <w:p>
      <w:r>
        <w:t>IT: TAF D-8078/2015 del 31 dicembre 2015</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formgerecht eingereicht. In den vorinstanzlichen Akten befindet sich kein Rückschein. Die angefochtene Verfügung ist auf den 9. November 2015 datiert. Nach dem gewöhnlichen Lauf der Dinge erfolgte die Eröffnung damit frühestens am 10. November 2015, so dass die am 10. Dezember 2015 eingereichte Beschwerde als fristgerecht zu erachten ist.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vorliegende Beschwerde beschränkt sich auf eine Anfechtung des angeordneten Wegweisungsvollzugs, während die vorinstanzliche Verfügung betreffend den Asylpunkt sowie die Wegweisung unangefochten in Rechtskraft erwachsen ist.</w:t>
      </w:r>
    </w:p>
    <w:p>
      <w:r>
        <w:rPr>
          <w:b/>
        </w:rPr>
        <w:t>E. 2</w:t>
      </w:r>
    </w:p>
    <w:p>
      <w:r>
        <w:t>Die Kognition des Bundesverwaltungsgerichts und die zulässigen Rügen richten sich im Wegweisungsvollzugspunkt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4.3</w:t>
      </w:r>
    </w:p>
    <w:p>
      <w:r>
        <w:t>Der Beschwerdeführer begründete sein Asylgesuch damit, dass er albanischer Staatsangehöriger sei und aus B._______ stamme. Sein Vater habe (...) 2008 (...) einen Unfall verursacht und dabei einen Passanten [verletzt], der kurz darauf im Spital seinen Verletzungen erlegen sei. Sein Vater sei deswegen strafrechtlich belangt worden. Zudem habe die Familie des Verstorbenen der Familie des Beschwerdeführers Rache geschworen. Ein Versöhnungsgespräch zwischen dem Ehemann seiner Tante väterlicherseits und der Opferfamilie, bei welchem der Dorfälteste als Vermittler aufgetreten sei, sei erfolglos geblieben. Die Opferfamilie habe das Angebot, die Bestattungskosten zu übernehmen, ausgeschlagen und stattdessen daran festgehalten, sich rächen zu wollen. Nach dem Unfall sei die Familie des Beschwerdeführers zweimal bedroht worden. Aus Angst sei der Beschwerdeführer mehrheitlich zu Hause geblieben und habe sein Zuhause in der Regel nur in Begleitung eines Onkels mütterlicherseits verlassen. Aus Angst hätten sie die Polizei jedoch nicht eingeschaltet. Im Jahre 2012 habe wiederum ein Versöhnungsgespräch stattgefunden, welches erneut erfolglos verlaufen sei. Die Söhne des Opfers seien längere Zeit im Ausland gewesen, so dass es längere Zeit zu keinen Zwischenfällen gekommen sei. Einer sei jedoch vor etwa einem Jahr zurückgekehrt, wodurch der Beschwerdeführer nun wieder mehr Angst um sein Leben habe.</w:t>
      </w:r>
    </w:p>
    <w:p>
      <w:r>
        <w:rPr>
          <w:b/>
        </w:rPr>
        <w:t>E. 4.4</w:t>
      </w:r>
    </w:p>
    <w:p>
      <w:r>
        <w:t>Das SEM begründete seine Verfügung damit, dass die vom Beschwerdeführer geltend gemachte Blutrache nicht glaubhaft sei. Das anlässlich der Abklärung der Botschaft geführte Gespräch mit der Opferfamilie habe ergeben, dass die Familie des Opfers nie die Absicht gehabt habe, sich zu rächen. Vielmehr würden auch sie von einem Unfall ausgehen und sie hätten der Familie des Beschwerdeführers bereits vergeben. Überdies sei der Vater des Beschwerdeführers mit dem Opfer verwandt. Die Abklärungen hätten überdies ergeben, dass es sich beim Schreiben des Komitees mit grosser Wahrscheinlichkeit um ein Gefälligkeitsschreiben handle. Der Bürgermeister von B._______ habe schliesslich ausgesagt, dass nie eine Blutfehde bestanden habe. Anlässlich der Gewährung des rechtlichen Gehörs sei es dem Beschwerdeführer nicht gelungen, diese Feststellungen zu widerlegen.</w:t>
      </w:r>
    </w:p>
    <w:p>
      <w:r>
        <w:rPr>
          <w:b/>
        </w:rPr>
        <w:t>E. 4.5</w:t>
      </w:r>
    </w:p>
    <w:p>
      <w:r>
        <w:t>Der Beschwerdeführer wendete gegen diese Argumentation auf Beschwerdeebene ein, dass ihm die Erkenntnisse der Botschaftsabklärung nur ungenügend offengelegt worden seien. Es seien keine Gründe ersichtlich, welche gegen eine gänzliche Offenlegung des Berichts, allenfalls unter Abdeckung geheimhaltungsbedürftiger Passagen, sprächen. Es sei im Spital nie zu einem Gespräch zwischen der Opferfamilie und seiner Familie gekommen und somit habe auch keine Versöhnung stattfinden können. Der Kanun unterscheide zwischen Verzicht und Verzeihung und nur bei Ersterem würden keine Rachehandlungen stattfinden. Ein solcher Verzicht liege jedoch nicht vor. Es ist überdies anzunehmen, dass sich die Opferfamilie anlässlich der Nachfrage der Botschaft nicht zur Racheabsicht bekannt habe, da Blutrache in Albanien eine schwere Straftat darstelle. Der Dorfvorsteher habe in zwei Schreiben bestätigt, dass eine Blutfehde bestehe. Er könne sich aufgrund seines Amtes eine Falschangabe nicht leisten, insbesondere da er sich dadurch einer Ehrverletzung gegenüber den namentlich erwähnten Mitgliedern der Opferfamilie schuldig machen würde. Der Beschwerdeführer könne sich die mündlichen Äusserungen des Dorfvorstehers gegenüber der Botschaft nur dadurch erklären, dass er die Blutrache verneint habe, um nicht als eine Art Nestbeschmutzer aufzutreten. Den Schreiben des Dorfvorstehers sei daher ein grösseres Gewicht beizumessen. Schliesslich liege auch ein authentisches Schreiben des Komitees vor. Solche Schreiben seien nur schwer käuflich zu erwerben. Der Beschwerdeführer werde sich bemühen, die betreffenden Fallakten beim Komitee zu beschaffen und nachzureichen. 5.1 Dem Beschwerdeführer ist es nicht gelungen darzulegen, dass er aufgrund einer Blutfehde gefährdet sei. Der Unfall, welcher die Blutfehde angeblich ausgelöst haben soll, ereignete sich im Jahre 2008, während der Beschwerdeführer seine Heimat erst im Jahre 2015 verliess. Der Beschwerdeführer vermochte nicht nachvollziehbar zu erklären, wieso er sich trotz angeblicher Gefährdung erst sieben Jahre nach dem Unfall zur Flucht entschlossen habe. Die dafür abgegebene Erklärung, die beiden Söhne des Getöteten hätten längere Zeit im Ausland gelebt (act. A7 F90), überzeugt nicht. Darüber hinaus ergeben sich aus den Akten auch keine glaubhaften Anhaltspunkte, dass der Beschwerdeführer jemals konkret gefährdet gewesen wäre. So erschöpfen sich seine Ausführungen zur Gefährdung seiner Person in pauschalen und zum Teil widersprüchlichen Äusserungen (vgl. act. A5 S. 5 f. und act. A7 F43 bis F46, F67 bis F87, F101 bis F106). Die Ergebnisse der Botschaftsabklärung bestätigen die Unglaubhaftigkeit der Vorbringen des Beschwerdeführers. Die Einwände des Beschwerdeführers gegenüber diesen Abklärungsergebnissen vermögen demgegenüber nicht zu überzeugen. Zum Vorwurf, die beteiligten Familien hätten sich nie im Spital getroffen, so dass es auch zu keiner Versöhnung habe kommen können, ist zu erwähnen, dass diesbezüglich eine Ungenauigkeit in der Formulierung des SEM vorliegt. Auch in der Botschaftsabklärung wurde nie explizit ausgeführt, die Familie des Beschwerdeführers habe diejenige des Opfers im Spital besucht. Der entsprechende Passus in der Abklärung lautet vielmehr dahingehend, dass die Familie des Beschwerdeführers im Zeitraum, als sich beide Väter im Spital befunden hätten, um Vergebung gebeten habe und die Opferfamilie nach dem Ableben des Opfers vergeben habe. Beim angeblichen Treffen der beiden Familien im Spital handelt es sich somit lediglich um eine (interpretative) Ungenauigkeit im Rahmen des rechtlichen Gehörs, wodurch das Argument des Beschwerdeführers ins Leere geht. Der Einwand, die Familie des Opfers hätte - in der Terminologie des Kanuns gesprochen - auf die Blutrache "verzichten" müssen, überzeugt nicht, zumal aus den Abklärungen - ungeachtet der verwendeten Terminologie - inhaltlich eindeutig hervorgeht, dass die Opferfamilie zu keinem Zeitpunkt Rache habe nehmen wollen. Zu den eingereichten Schreiben des Komitees ist ebenfalls auf die Abklärung zu verweisen, worin ausgeführt wurde, dass es sich dabei wohl um Gefälligkeitsschreiben handeln dürfte. Somit kann den Schreiben nur ein sehr geringer Beweiswert beigemessen werden, sodass ihnen in Anbetracht der vorangehenden gewichtigen Unglaubhaftigkeitsmomente keine ausschlaggebende Bedeutung zukommen kann. Gleich verhält es sich mit den Bestätigungsschreiben des Bürgermeisters, zumal er gegenüber der Botschaft den Schreiben widersprechend ausführte, es bestehe keine Blutfehde. Wieso er sich - wie vom Beschwerdeführer behauptet - unwahr gegenüber der Botschaft äusserte, um nicht als Nestbeschmutzer zu gelten, gleichzeitig aber ungeachtet dieser Befürchtung eine schriftliche Bestätigung ausstellte, ist nicht nachvollziehbar. 5.2 Zur Rüge, dem Beschwerdeführer sei nur unzureichend Einblick in die Botschaftsabklärung gewährt worden, ist festzuhalten, dass ihm hinreichend Gelegenheit geboten wurde, sich wirksam zu den Ergebnissen zu äussern. So wurde ihm im Rahmen des rechtlichen Gehörs sowohl offengelegt, auf welche Quellen sich die Botschaftsabklärung stützt, als auch welche Ergebnisse aus der Abklärung resultierten. Dem Beschwerdeführer war es denn auch möglich, sowohl mit Eingabe vom 23. Oktober 2015 als auch mit der Beschwerdeschrift zu den Abklärungsergebnissen Stellung zu nehmen. Eine Verletzung des Anspruchs auf rechtliches Gehör liegt somit nicht vor. Im Rahmen des vorinstanzlichen Verfahrens wie auch des Beschwerdeverfahrens bestand zudem genügend Möglichkeit, etwaige weitere Beweismittel hinsichtlich der Blutfehde einzureichen, so dass keine gesonderte Frist zur Beibringung weiterer Beweismittel zu setzen ist. Zudem ergibt sich aus der Botschaftsabklärung, dass der Vorsitzende des Komitees nicht in der Lage war, der Botschaft Unterlagen über den Fall vorzulegen, sondern darauf hinwies, für weitere Informationen zuerst mit der Familie des Beschwerdeführers telefonischen Kontakt aufnehmen zu müssen. Auch deswegen erübrigt sich die Ansetzung einer Frist zur Beibringung weiterer Beweismittel beziehungsweise die Vornahme diesbezüglicher Instruktionsmassnahmen. 5.3 Somit sind keine Gründe ersichtlich, dass der Beschwerdeführer für den Fall einer Ausschaffung in den Heimatstaat dort mit beachtlicher Wahrscheinlichkeit einer nach Art. 3 EMRK oder Art. 1 FoK verbotenen Strafe oder Behandlung ausgesetzt wäre. Nach dem Gesagten ist der Vollzug der Wegweisung sowohl im Sinne der asyl- als auch der völkerrechtlichen Bestimmungen zulässig. 5.4 In Ermangelung gegenteiliger Anhaltspunkte erweist sich der Vollzug der Wegweisung ferner auch als zumutbar. 5.5 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 5.6 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Aufgrund obiger Erwägungen ist die Beschwerde als zum vornherein aussichtlos zu erachten. Das Gesuch um Gewährung der unentgeltlichen Prozessführung und amtlichen Rechtsverbeiständung ist somit abzuweisen.</w:t>
      </w:r>
    </w:p>
    <w:p>
      <w:r>
        <w:rPr>
          <w:b/>
        </w:rPr>
        <w:t>E. 7.2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