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D-8077/2010 vom 9. Februar 2011</w:t>
      </w:r>
    </w:p>
    <w:p>
      <w:r>
        <w:t>Bundesverwaltungsgericht, 2011-02-09, DE</w:t>
      </w:r>
    </w:p>
    <w:p>
      <w:r>
        <w:rPr>
          <w:b/>
        </w:rPr>
        <w:t xml:space="preserve">Quelle: </w:t>
      </w:r>
      <w:r>
        <w:t>https://mcp.opencaselaw.ch/entscheid/bvger_D-8077_2010</w:t>
      </w:r>
    </w:p>
    <w:p>
      <w:r>
        <w:t>FR: TAF D-8077/2010 du 9 février 2011</w:t>
      </w:r>
    </w:p>
    <w:p>
      <w:r>
        <w:t>IT: TAF D-8077/2010 del 9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c Ziff. 1 und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Vorliegend wurden die Beschwerdeführerenden von der schweizeri­schen Vertretung in Bogotá nicht zu ihrem Asylgesuch befragt. Sie haben ihre Vorbringen jedoch bereits in ihrem Asylgesuch vom 21. September 2008 und den diesem folgenden Eingaben vom 31. Oktober 2008, 4. Mai 2009 und vom 22. Dezember 2009 schriftlich dargelegt und dokumentiert. Ausserdem wurde ihnen danach mit Zwischenverfügung des BFM vom 26. April 2010 das rechtliche Gehör im Hinblick auf die in Erwägung gezoge­ne Abweisung des Asylgesuchs gewährt. Sie haben von ihrem dies­bezüglichen Recht auf Stellungnahme in der Folge mit ihrer vom 26. Juni 2010 datierenden Eingabe denn auch Gebrauch gemacht, und der entscheidwesentliche Sachverhalt erscheint - wie das BFM sowohl in seiner Zwischenverfügung vom 26. April 2010 als auch in der angefochte­nen Verfügung zu Recht ausführt - angesichts der schriftlichen Darlegung und Dokumentierung der Asylgründe soweit erstellt, dass die entscheidrele­vanten Elemente vorliegen. Bei dieser Sachlage bestand für die schweizerische Vertretung in Bogotá entgegen den Behauptungen in der Beschwerde keine Veranlassung, die Beschwerdeführenden vorgän­gig eines Entscheides zusätzlich persönlich anzuhören. Darüber hinaus hat das BFM sowohl in seiner Zwischenverfügung vom 26. April 2010 als auch in seiner Verfügung vom 7. September 2010 hinlänglich zum Aus­druck gebracht, welche Gründe es dazu verhalten haben, die Asylgesu­che der Beschwerdeführenden abzuweisen beziehungsweise ihnen die Ein­reise in die Schweiz zu bewilligen (vgl. Sachverhalt Bst. D. und G).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Be­schwerdeführerenden hätten in ihrem Gesuch keine besonders nahen Be­ziehungen zur Schweiz geltend gemacht. Gemäss den Angaben der Be­schwerdeführenden in deren ergänzender Eingabe vom 31. Oktober 2008 leben die Eltern des Beschwerdeführers in Kolumbien, ein Bruder des Beschwerdeführers - F._______ - in Ecuador. Im Weiteren hat das BFM zu Recht erwogen, dass es den Beschwerdeführen­den zuzumuten sei, in einem anderen Land um Asylge­währung nachzusuchen (Art. 52 Abs. 2 AsylG). So sind beispiels­weise die Nachbarstaaten Brasilien, Ecuador, Panama und Peru Vertrags­parteien sowohl des Abkommens vom 28. Juli 1951 über die Rechtsstellung der Flüchtlinge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 insbesondere in einen der Nach­barstaaten Kolumbiens - zu begeben (vgl. EMARK 2004 Nr. 20 und 1997 Nr. 15). Diese Einschätzung wird im Ergebnis gerade auch durch die Tatsache gestützt, dass ein Bruder des Be­schwerdeführers - F._______ - seit Jahren in Ecuador lebt.</w:t>
      </w:r>
    </w:p>
    <w:p>
      <w:r>
        <w:rPr>
          <w:b/>
        </w:rPr>
        <w:t>E. 6.2</w:t>
      </w:r>
    </w:p>
    <w:p>
      <w:r>
        <w:t>Bei dieser Sachlage kann im Ergebnis die Frage, ob die Beschwer­defüh­renden in Kolumbien tatsächlich einer Verfolgung im Sinne von Art. 3 AsylG ausgesetzt wären, offengelassen werden.</w:t>
      </w:r>
    </w:p>
    <w:p>
      <w:r>
        <w:rPr>
          <w:b/>
        </w:rPr>
        <w:t>E. 6.3</w:t>
      </w:r>
    </w:p>
    <w:p>
      <w:r>
        <w:t>Zusammenfassend ist damit festzuhalten, dass die Beschwerdeführen­den aufgrund der Akten über keine Beziehungsnähe zur Schweiz verfügen, hingegen die Möglichkeit der anderweitigen Schutz­suche haben. Das BFM hat den Beschwerdeführenden daher zu Recht die Einreise in die Schweiz verweigert und die Asylgesuche abge­lehnt.</w:t>
      </w:r>
    </w:p>
    <w:p>
      <w:r>
        <w:rPr>
          <w:b/>
        </w:rPr>
        <w:t>E. 7</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8</w:t>
      </w:r>
    </w:p>
    <w:p>
      <w:r>
        <w:t>Bei diesem Ausgang des Verfahrens wären dessen Kosten grundsätzlich der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