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D-806/2010 vom 8. März 2010</w:t>
      </w:r>
    </w:p>
    <w:p>
      <w:r>
        <w:t>Bundesverwaltungsgericht, 2010-03-08, DE</w:t>
      </w:r>
    </w:p>
    <w:p>
      <w:r>
        <w:rPr>
          <w:b/>
        </w:rPr>
        <w:t xml:space="preserve">Quelle: </w:t>
      </w:r>
      <w:r>
        <w:t>https://mcp.opencaselaw.ch/entscheid/bvger_D-806_2010</w:t>
      </w:r>
    </w:p>
    <w:p>
      <w:r>
        <w:t>FR: TAF D-806/2010 du 8 mars 2010</w:t>
      </w:r>
    </w:p>
    <w:p>
      <w:r>
        <w:t>IT: TAF D-806/2010 del 8 marzo 2010</w:t>
      </w:r>
    </w:p>
    <w:p>
      <w:pPr>
        <w:pStyle w:val="Heading2"/>
      </w:pPr>
      <w:r>
        <w:t>Regeste</w:t>
      </w:r>
    </w:p>
    <w:p>
      <w:r>
        <w:t>Asyl und Wegweisung</w:t>
      </w:r>
    </w:p>
    <w:p>
      <w:pPr>
        <w:pStyle w:val="Heading2"/>
      </w:pPr>
      <w:r>
        <w:t>Erwägungen</w:t>
      </w:r>
    </w:p>
    <w:p>
      <w:r>
        <w:rPr>
          <w:b/>
        </w:rPr>
        <w:t>E. 1.1</w:t>
      </w:r>
    </w:p>
    <w:p>
      <w:r>
        <w:t>Das Bundesverwaltungsgericht entscheidet auf dem Gebiet des Asyls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w:t>
      </w:r>
    </w:p>
    <w:p>
      <w:r>
        <w:rPr>
          <w:b/>
        </w:rPr>
        <w:t>E. 2.1</w:t>
      </w:r>
    </w:p>
    <w:p>
      <w:r>
        <w:t>Im Revisionsgesuch ist insbesondere der angerufene Revisionsgrund anzugeben und die Rechtzeitigkeit des Revisionsbegehrens im Sinne von Art. 124 BGG darzutun (Art. 47 VGG i.V.m. Art. 67 Abs. 3 VwVG).</w:t>
      </w:r>
    </w:p>
    <w:p>
      <w:r>
        <w:rPr>
          <w:b/>
        </w:rPr>
        <w:t>E. 2.2</w:t>
      </w:r>
    </w:p>
    <w:p>
      <w:r>
        <w:t>Der Gesuchsteller macht den Revisionsgrund von Art. 123 Abs. 2 Bst. a BGG (neue Tatsachen und Beweismittel) geltend und behauptet ausserdem die Rechtzeitigkeit des Revisionsbegehrens. Nachdem der erhobene Kostenvorschuss fristgerecht einbezahlt wurde, ist demnach auf das im Übrigen form- und fristgerecht (vgl. Art. 67 Abs. 3 i.V.m Art. 52 VwVG, Art. 124 Abs. 1 Bst. d BGG) eingereichte Revisionsgesuch einzutreten.</w:t>
      </w:r>
    </w:p>
    <w:p>
      <w:r>
        <w:rPr>
          <w:b/>
        </w:rPr>
        <w:t>E. 3</w:t>
      </w:r>
    </w:p>
    <w:p>
      <w:r>
        <w:t>Im Revisionsgesuch wird im Wesentlichen geltend gemacht, es sei dem Gesuchsteller nun gelungen, das bereits im ordentlichen Beschwerdeverfahren in Aussicht gestellte Bestätigungsschreiben von O. K. zu beschaffen, welches die im Beschwerdeverfahren als unglaubhaft erachteten Vorbringen des Gesuchstellers belegen könne. Es sei nicht möglich gewesen, dieses Schreiben eher zu beschaffen, da sich die Kontaktaufnahme mit O. K. schwierig gestaltet habe. Das fragliche Schreiben sei mit Hilfe eines in der Schweiz wohnhaften Freundes des Gesuchstellers, M. B., welcher ferienhalber in die Türkei gereist sei, beschafft worden. Neben dem Bestätigungsschreiben von O. K. würden auch die Reiseunterlagen von M. B. sowie Unterlagen zur Person von O. K. als Beweismittel eingereicht. In seinem Schreiben erkläre O. K., wie das Oberkommando der Armee den gewählten Stadtrat der Demokratik Toplum Partisi (DTP) auf illegale Weise aus dem Amt entfernt habe. Andere Parteimitglieder seien auf den Gendarmerie-Posten gebracht und mit dem Tod bedroht worden. O. K. bestätige, dass sich auch der Gesuchsteller unter diesen Personen befunden habe. Diese Darstellung decke sich mit den Aussagen des Gesuchstellers und sei daher geeignet, deren Glaubhaftigkeit zu untermauern. Seine Flüchtlingseigenschaft sei daher zumindest als glaubhaft zu erachten. Eventuell sei der Vollzug der Wegweisung mit Blick auf die nun belegten Ereignisse als unzulässig und unzumutbar zu erachten.</w:t>
      </w:r>
    </w:p>
    <w:p>
      <w:r>
        <w:rPr>
          <w:b/>
        </w:rPr>
        <w:t>E. 4.1</w:t>
      </w:r>
    </w:p>
    <w:p>
      <w:r>
        <w:t>Die Revision eines Urteils des Bundesverwaltungsgerichts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Für den vorliegenden Fall ist festzustellen, dass es dem neu eingereichten Bestätigungsschreiben von O. K. entgegen der im Gesuch vertretenen Auffassung namentlich an der Voraussetzung der Erheblichkeit fehlt: Das fragliche Schreiben besteht lediglich aus äusserst vagen und unpräzisen Floskeln; es werden insbesondere weder die genauen Personalien des Gesuchstellers noch die Daten der angeblichen Festnahmen und Drohungen genannt. Angesichts dessen ist davon auszugehen, dass es sich um ein blosses Gefälligkeitsschreiben handelt. Im Übrigen ist zu bezweifeln, dass es tatsächlich O. K. war, welcher dieses Schreiben verfasst hat; denn das Dokument enthält keinerlei Kontaktinformationen der ausstellenden Person (Telefonnummer, Adresse etc.). Derartige Informationen sind indessen ein essentieller Teil von Bestätigungsschreiben. Werden sie weggelassen, muss davon ausgegangen werden, dass der Aussteller nicht kontaktiert werden will, was wiederum darauf schliessen lässt, dass der tatsächliche Verfasser nicht mit dem angeblichen Verfasser (vorliegend O. K.) identisch ist. Seitens des Gesuchstellers wird denn auch in keiner Art und Weise glaubhaft gemacht, dass es sich bei der Person, welche das Bestätigungsschreiben unterzeichnet hat, tatsächlich um den in den dem Revisionsgesuch ebenfalls beigelegten Presseberichten genannten O. K. handelt.</w:t>
      </w:r>
    </w:p>
    <w:p>
      <w:r>
        <w:rPr>
          <w:b/>
        </w:rPr>
        <w:t>E. 4.3</w:t>
      </w:r>
    </w:p>
    <w:p>
      <w:r>
        <w:t>Gestützt auf die vorstehenden Erwägungen sind das Bestätigungsschreiben von O. K. sowie die zu dessen Legitimierung eingereichten übrigen Unterlagen (Reiseunterlagen von M. B., Presseberichte betreffend die Person von O. K.) - ungeachtet der Frage der Verspätetheit - als revisionsrechtlich unerheblich zu qualifizieren, da sie aufgrund des Gesagten nicht geeignet sind, die vom Gesuchsteller im ordentlichen Beschwerdeverfahren vorgebrachten Asylgründe nachträglich als glaubhaft erscheinen zu lassen.</w:t>
      </w:r>
    </w:p>
    <w:p>
      <w:r>
        <w:rPr>
          <w:b/>
        </w:rPr>
        <w:t>E. 4.4</w:t>
      </w:r>
    </w:p>
    <w:p>
      <w:r>
        <w:t>Die neu eingereichten Beweismittel stellen damit keinen Revisionsgrund im Sinne von Art. 123 Abs. 2 Bst. a BGG dar, weshalb das Gesuch um Revision des Urteils des Bundesverwaltungsgerichts vom 5. Januar 2010 in Sachen D-7857/2009 abzuweisen ist.</w:t>
      </w:r>
    </w:p>
    <w:p>
      <w:r>
        <w:rPr>
          <w:b/>
        </w:rPr>
        <w:t>E. 5</w:t>
      </w:r>
    </w:p>
    <w:p>
      <w:r>
        <w:t>Bei diesem Ausgang des Verfahrens sind dessen Kosten von Fr. 1'200.-- dem Gesuchsteller aufzuerlegen (Art. 37 VGG i.V.m. Art. 63 Abs. 1 und Art. 68 Abs. 2 VwVG; Art. 1-3 des Reglements vom 21. Februar 2008 über die Kosten und Entschädigungen vor dem Bundesverwaltungsgericht [VGKE, SR 173.320.2]). Sie sind durch den im gleichen Umfang geleisteten Kostenvorschuss gedeckt und mit diesem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