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D-8054/2010 vom 31. Januar 2011</w:t>
      </w:r>
    </w:p>
    <w:p>
      <w:r>
        <w:t>Bundesverwaltungsgericht, 2011-01-31, DE</w:t>
      </w:r>
    </w:p>
    <w:p>
      <w:r>
        <w:rPr>
          <w:b/>
        </w:rPr>
        <w:t xml:space="preserve">Quelle: </w:t>
      </w:r>
      <w:r>
        <w:t>https://mcp.opencaselaw.ch/entscheid/bvger_D-8054_2010</w:t>
      </w:r>
    </w:p>
    <w:p>
      <w:r>
        <w:t>FR: TAF D-8054/2010 du 31 janvier 2011</w:t>
      </w:r>
    </w:p>
    <w:p>
      <w:r>
        <w:t>IT: TAF D-8054/2010 del 31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Das Bundesamt kann die Einreise in die Schweiz verweigern oder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Abs. 1 AsylV 1 vor, dass diese mit der asylsuchenden Person in der Regel eine Befragung durchführt. Ist dies nicht möglich, so wird die asylsuchende Person aufgefordert, ihre Asylgründe schriftlich festzuhalten (Art. 10 Abs. 2 AsylV 1; vgl. hierzu auch Entscheide des Schweizerischen Bundesverwaltungsgerichts [BVGE] 2007/30).</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In der Rechtsmitteleingabe wurde zunächst geltend gemacht, nachdem der Beschwerdeführer die als Beweismittel eingereichte Gerichtsvorladung erhalten habe, sei er untergetaucht und lebe an wechselnden Orten bei Bekannten. Er gehe aus Angst keiner Arbeit nach und habe alle Kontakte nach aussen abgebrochen. Die Polizei habe wiederholt an seiner früheren Wohnadresse nach ihm gesucht. Die Behauptung des BFM, der Beschwerdeführer lebe zu Hause und arbeite, erweise sich somit als unzutreffend. Die Gerichtsvorladung sowie der darauf folgende Haftbefehl bestätigten die früheren Vorbringen des Beschwerdeführers, die im Asylgesuch festgehalten und den von ihm selber am 10. Mai 2010 auf der Schweizerischen Vertretung in Teheran verfassten englischsprachigen Sätzen zumindest ansatzweise zu entnehmen seien. Der Beschwerdeführer habe während des gesamten bisherigen Verfahrens geltend gemacht, aufgrund seiner politischen Aktivitäten von den iranischen Behörden gesucht und verfolgt zu werden. Somit bestünden klare Hinweise auf eine Verfolgung im Sinne von Art. 3 AsylG, die im Rahmen eines fortgesetzten Verfahrens durch das BFM zu prüfen seien. Nach dem Gesagten ergebe sich, dass für den Beschwerdeführer ein weiterer Verbleib in seinem Heimatland unzumutbar sei, weshalb ihm die Einreise in die Schweiz zu bewilligen sei. Gemäss geltender Praxis sei bei der Beurteilung der Voraussetzungen für die Erteilung einer Einreisebewilligung neben der erforderlichen Gefährdung namentlich die Beziehungsnähe zur Schweiz in Betracht zu ziehen. Eine solche sei im vorliegenden Fall zweifellos zu bejahen, da dem Bruder des Beschwerdeführers in der Schweiz Asyl gewährt worden sei.Aufgrund der bestehenden Gefährdung des Beschwerdeführers im Iran und der vorhandenen Beziehungsnähe zur Schweiz sei die angefochtene Verfügung aufzuheben und dem Beschwerdeführer die Einreise in die Schweiz zwecks Durchführung eines ordentlichen Asylverfahrens zu bewilligen. Auf Beschwerdeebene wurde sodann gerügt, in casu habe keine vollständige, einlässliche Befragung beziehungsweise Anhörung des Beschwerdeführers zu seinen Asylgründen stattgefunden. Er habe lediglich Gelegenheit erhalten, am 10. Mai 2010 auf der Botschaft einen in englischer Sprache verfassten Fragebogen auszufüllen. Seine Antworten, die er ebenfalls auf Englisch verfasst habe, zeigten jedoch deutlich, dass er dieser Sprache nicht mächtig sei und die gestellten Fragen nicht genügend verstanden habe. Aufgrund fehlender Englischkenntnisse sei er offensichtlich nicht in der Lage gewesen, sachgerecht zu antworten. Es sei ihm somit nicht möglich gewesen, sein Asylgesuch ausreichend zu begründen, weshalb der rechtserhebliche Sachverhalt als nicht erstellt zu bezeichnen sei. Laut Angaben des Beschwerdeführers und aufgrund der Akten sei die Aussage des BFM in der angefochtenen Verfügung, auf der Botschaft sei eine Farsi sprechende Person beigezogen worden, nicht zutreffend. Die Botschaft habe es unterlassen, eine Dolmetscherin oder einen Dolmetscher beizuziehen, wie dies in Art. 29 Abs. 1bis AsylG vorgesehen sei und im vorliegenden Fall zwingendermassen angezeigt gewesen wäre. Ebenso habe die Botschaft es unterlassen, dem Gesuch des Beschwerdeführers einen Bericht beizufügen, bevor sie beides dem Bundesamt überwiesen habe. Als weiterer Verfahrensmangel komme hinzu, dass das BFM in der Folge zu Unrecht darauf verzichtet habe, dem Beschwerdeführer zum beabsichtigten negativen Entscheid das rechtliche Gehör zu gewähren.Zusammenfassend ergebe sich, dass der rechtserhebliche Sachverhalt nicht erstellt sei und das BFM den Anspruch des Beschwerdeführers auf rechtliches Gehör verletzt habe. Aus diesem Grund sei eventualiter die angefochtene Verfügung aufzuheben und die Sache zwecks richtiger und vollständiger Feststellung des rechtserheblichen Sachverhalts an die Vorinstanz zurückzuweisen.</w:t>
      </w:r>
    </w:p>
    <w:p>
      <w:r>
        <w:rPr>
          <w:b/>
        </w:rPr>
        <w:t>E. 5.2.1</w:t>
      </w:r>
    </w:p>
    <w:p>
      <w:r>
        <w:t>In formeller Hinsicht ist vorab festzuhalten, dass die Schweizerische Vertretung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erwogen, dass sich die Unmöglichkeit einer Befragung aus organisatorischen oder kapazitätsmässigen Gründen bei der jeweiligen Vertretung, aus faktischen Hindernissen im betreffenden Land oder aus bei der asylsuchenden Person liegenden persönlichen Gründen ergeben kann (vgl. a.a.O. E. 5.2 und 5.3). Da die Anhörung der Sachverhaltserstellung und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zum abzusehenden negativen Entscheid zumindest schriftlich zu äussern (vgl. a.a.O. E. 5.7). Schliesslich ist das BFM in jedem Fall gehalten, das Absehen von einer Befragung in der Verfügung über das Asylgesuch zu begründen (vgl. a.a.O. E. 5.6 und 5.7).</w:t>
      </w:r>
    </w:p>
    <w:p>
      <w:r>
        <w:rPr>
          <w:b/>
        </w:rPr>
        <w:t>E. 5.2.2</w:t>
      </w:r>
    </w:p>
    <w:p>
      <w:r>
        <w:t>Vorliegend wurde auf eine persönliche Befragung des Beschwerdeführers verzichtet. Einer internen Notiz der Botschaft vom 12. Mai 2009 an das BFM, welche in die Asylakten Eingang gefunden hat, ist diesbezüglich zu entnehmen, dass sie aus generellen Sicherheitsüberlegungen keine Asylbefragungen durchführt. Aufgrund der genannten, dem Bundesverwaltungsgericht bekannten und begründeten Praxis der Schweizerischen Vertretung in Teheran kann die Unmöglichkeit einer Befragung - gemäss Art. 10 Abs. 2 AsylV 1 und im Sinne der Gerichtspraxis (vgl. BVGE 2007/30 E. 5.2 und 5.3) - zwar bejaht werden, weshalb der Vorhalt in der Rechtsschrift, in casu habe keine vollständige, einlässliche Befragung des Beschwerdeführers zu seinen Asylgründen stattgefunden, nicht zu hören ist. Es gilt jedoch im Folgenden zu prüfen, ob der dem Beschwerdeführer seitens der Botschaft ausgehändigte, in englischer Sprache abgefasste Fragebogen den Anforderungen an eine schriftliche Sachverhaltsabklärung zu genügen vermag oder ob das BFM diesbezüglich den Anspruch des Beschwerdeführers auf rechtliches Gehör verletzt hat.</w:t>
      </w:r>
    </w:p>
    <w:p>
      <w:r>
        <w:rPr>
          <w:b/>
        </w:rPr>
        <w:t>E. 5.2.2.1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 unter dem Blickwinkel des rechtlichen Gehörs im Sinne von Art. 29 Abs. 2 der Bundesverfassung der Schweizerischen Eidgenossenschaft vom 18. April 1999 (BV, SR 101) - auch das Recht, an der Feststellung des Sachverhalts mitzuwirken (vgl. EMARK 2003 Nr. 13, EMARK 2004 Nr. 16 E. 7a, EMARK 2004 Nr. 30 E. 5.3.1).</w:t>
      </w:r>
    </w:p>
    <w:p>
      <w:r>
        <w:rPr>
          <w:b/>
        </w:rPr>
        <w:t>E. 5.2.2.2</w:t>
      </w:r>
    </w:p>
    <w:p>
      <w:r>
        <w:t>Beim vom Beschwerdeführer ausgefüllten Fragebogen (vgl. A4) handelt es sich zwar nicht um eine blosse Standardvorlage, sondern um ein individualisiertes Schreiben mit konkreten Fragen, deren Beantwortung an sich eine rechtsgenügliche Sachverhaltsabklärung ermöglichen würde. Nach genauer Durchsicht der vom Beschwerdeführer ebenfalls in englischer Sprache verfassten Antworten steht jedoch fest, dass seine Englischkenntnisse für die Ermittlung des rechtserheblichen Sachverhalts nicht ausreichen. Die Art und Weise der Beantwortung der einzelnen Fragen lässt zweifellos den Schluss zu, dass er diese mehrheitlich nicht richtig verstanden hat. So war er namentlich weder in der Lage, seine Asylgründe detailliert und nachvollziehbar darzulegen, noch allfällige Probleme mit den iranischen Sicherheitskräften und die Umstände der in B._______ angeblich verbrachten Haft genau zu beschreiben (vgl. A4, S. 4 und 6). Angesichts dieser Sachlage ergibt sich, dass das BFM den Anspruch des Beschwerdeführers auf rechtliches Gehör verletzt hat, indem es ihm den Fragebogen in einer Sprache, deren er nicht mächtig ist, aushändigen liess. Dadurch hat die Vorinstanz nicht nur sein Recht auf Mitwirkung beschränkt, sondern ist auch ihrer Pflicht, den Sachverhalt von Amtes wegen vollständig und richtig abzuklären, nicht nachgekommen. Damit der Sachverhalt rechtsgenüglich hätte festgestellt werden können, wäre sie vielmehr gehalten gewesen, dem Beschwerdeführer einen Fragebogen in seiner Muttersprache beziehungsweise in einer ihm verständlichen Sprache zur Verfügung zu stellen. Vor diesem Hintergrund und angesichts des Umstands, wonach das Resultat der angeblichen Nachbefragung (vgl. Bericht vom 11. Mai 2010, A5) in den Akten nirgends protokollarisch festgehalten ist, kann die Frage, ob eine Farsi sprechende Person auf der Botschaft tatsächlich beigezogen wurde oder nicht, offen gelassen werden.</w:t>
      </w:r>
    </w:p>
    <w:p>
      <w:r>
        <w:rPr>
          <w:b/>
        </w:rPr>
        <w:t>E. 5.2.3</w:t>
      </w:r>
    </w:p>
    <w:p>
      <w:r>
        <w:t>Als weiterer Verfahrensmangel muss der Vorinstanz - entsprechend der in der Rechtsmitteleingabe dargelegten Rüge - schliesslich angelastet werden, dass sie dem Beschwerdeführer den negativen Asylentscheid vom 18. Oktober 2010 vor dessen Erlass nicht angekündigt hat, obwohl sie gemäss geltender Rechtsprechung des Bundesverwaltungsgerichts verpflichtet gewesen wäre, ihm auch diesbezüglich das rechtliche Gehör zu gewähren (vgl. BVGE 2007/30 E. 5.8 S. 368).</w:t>
      </w:r>
    </w:p>
    <w:p>
      <w:r>
        <w:rPr>
          <w:b/>
        </w:rPr>
        <w:t>E. 5.2.4</w:t>
      </w:r>
    </w:p>
    <w:p>
      <w:r>
        <w:t>Hinsichtlich des in der Rechtsschrift gemachten Vorhalts, die Botschaft habe es unterlassen, dem Gesuch des Beschwerdeführers einen Bericht beizulegen, bevor sie beides dem Bundesamt überwiesen habe, ist zu bemerken, dass diesbezüglich kein Verfahrensmangel vorliegt. Aus den Akten ergibt sich nämlich, dass die Botschaft dem BFM mit Eingabe vom 11. Mai 2010 gestützt auf Art. 20 Abs. 1 AsylG einen entsprechenden Bericht zusammen mit dem ausgefüllten Fragebogen und weiteren Dokumenten überwiesen hat (vgl. Bst. C des Sachverhalts). Ausserdem konnte die Rechtsvertretung dem Aktenverzeichnis der Vorinstanz, welches ihr mit Schreiben vom 21. Oktober 2010 in Kopie zugestellt wurde, entnehmen, dass das Dokument A5 (Begleitnotiz zu A4 [Fragebogen] von AmbaCH) Eingang in die Akten gefunden hat. Angesichts dessen erweist sich die besagte Rüge als unbegründet.</w:t>
      </w:r>
    </w:p>
    <w:p>
      <w:r>
        <w:rPr>
          <w:b/>
        </w:rPr>
        <w:t>E. 5.3</w:t>
      </w:r>
    </w:p>
    <w:p>
      <w:r>
        <w:t>Zusammenfassend ist festzuhalten, dass das BFM den rechtserheblichen Sachverhalt unvollständig festgestellt und damit die behördliche Untersuchungspflicht sowie den Anspruch des Beschwerdeführers auf rechtliches Gehör verletzt hat. Eine Heilung dieser Verfahrensmängel im Rahmen des Beschwerdeverfahrens fällt vorliegend ausser Betracht, weil die angefochtene Verfügung nach Ausfällung des Grundsatzurteils BVGE 2007/30 erlassen wurde (vgl. Urteil des Bundesverwaltungsgerichts D-1433/2007 vom 23. Mai 2008, E. 3.3 e contrario).</w:t>
      </w:r>
    </w:p>
    <w:p>
      <w:r>
        <w:rPr>
          <w:b/>
        </w:rPr>
        <w:t>E. 6</w:t>
      </w:r>
    </w:p>
    <w:p>
      <w:r>
        <w:t>Nach dem Gesagten ist die Beschwerde gutzuheissen, die angefochtene Verfügung vom 18. Oktober 2010 aufzuheben und die Sache zur Neubeurteilung an die Vorinstanz zurückzuweisen. Das BFM ist aufzufordern, den rechtserheblichen Sachverhalt im Sinne der obigen Erwägungen vollständig festzustellen. Bei dieser Sachlage erübrigen sich Ausführungen zu den weiteren Vorbringen in der Beschwerdeschrift. Gemäss der Aktenlage gibt es vorliegend keine Hinweise auf eine ernsthafte Gefährdung des Beschwerdeführers in seinem Heimatland, weshalb er den Ausgang des neuen Asylverfahrens im Ausland abzuwarten hat.</w:t>
      </w:r>
    </w:p>
    <w:p>
      <w:r>
        <w:rPr>
          <w:b/>
        </w:rPr>
        <w:t>E. 7.1</w:t>
      </w:r>
    </w:p>
    <w:p>
      <w:r>
        <w:t>Bei diesem Ausgang des Beschwerdeverfahrens sind keine Kosten aufzuerlegen (Art. 63 Abs. 1 VwVG).</w:t>
      </w:r>
    </w:p>
    <w:p>
      <w:r>
        <w:rPr>
          <w:b/>
        </w:rPr>
        <w:t>E. 7.2.1</w:t>
      </w:r>
    </w:p>
    <w:p>
      <w:r>
        <w:t>Dem rechtlich vertretenen Beschwerdeführer ist angesichts seines Obsiegens zulasten der Vorinstanz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Die Parteientschädigung umfasst die Kosten der Vertretung sowie allfällige weitere notwendige Auslagen der Partei, inklusive Mehrwertsteuer. Das Gericht setzt die Parteientschädigung aufgrund der eingereichten Kostennote oder, mangels Einreichung einer solchen, aufgrund der Akten fest. Die Entschädigung für eine nichtanwaltliche berufsmässige Vertretung wird dabei nach dem notwendigen Zeitaufwand bemessen, wobei der Stundenansatz mindestens Fr. 100.-- und höchstens Fr. 300.-- beträgt (Art. 10 VGKE).</w:t>
      </w:r>
    </w:p>
    <w:p>
      <w:r>
        <w:rPr>
          <w:b/>
        </w:rPr>
        <w:t>E. 7.2.2</w:t>
      </w:r>
    </w:p>
    <w:p>
      <w:r>
        <w:t>Der Rechtsvertreter weist in seiner Kostennote vom 16. November 2010 Aufwendungen von 5.5 Stunden zu einem Stundenansatz vonFr. 180.-- (total Fr. 990.--) sowie Auslagen von insgesamt Fr. 132.50 für Porti, Telefon- /Faxgebühren (Fr. 20.--) und Dolmetschertätigkeit (1.5 Stunden zu Fr. 112.50) aus, was einem Gesamtbetrag von Fr. 1'122.50 entspricht.Das Bundesverwaltungsgericht erachtet den in der Kostennote bezifferten Zeitaufwand als angemessen, weshalb die Parteientschädigung auf Fr. 1'122.50 (inklusive Auslagen und Mehrwertsteuer) festzusetzen und die Vorinstanz anzuweisen ist,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