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D-8050/2010 vom 11. Februar 2011</w:t>
      </w:r>
    </w:p>
    <w:p>
      <w:r>
        <w:t>Bundesverwaltungsgericht, 2011-02-11, DE</w:t>
      </w:r>
    </w:p>
    <w:p>
      <w:r>
        <w:rPr>
          <w:b/>
        </w:rPr>
        <w:t xml:space="preserve">Quelle: </w:t>
      </w:r>
      <w:r>
        <w:t>https://mcp.opencaselaw.ch/entscheid/bvger_D-8050_2010</w:t>
      </w:r>
    </w:p>
    <w:p>
      <w:r>
        <w:t>FR: TAF D-8050/2010 du 11 février 2011</w:t>
      </w:r>
    </w:p>
    <w:p>
      <w:r>
        <w:t>IT: TAF D-8050/2010 del 11 febbraio 2011</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6 AsylG i.V.m. Art. 48 Abs. 1, Art. 50 und 52 VwVG).</w:t>
      </w:r>
    </w:p>
    <w:p>
      <w:r>
        <w:rPr>
          <w:b/>
        </w:rPr>
        <w:t>E. 3</w:t>
      </w:r>
    </w:p>
    <w:p>
      <w:r>
        <w:t>Im vorliegenden Fall besteht Anlass zur Frage, ob die Vorinstanz im Rah­men der angefochtenen Verfügung ihren Pflichten hinreichend nach­gekom­men ist, die sich aus dem Anspruch der Beschwerdeführenden auf recht­liches Gehör ergeben.</w:t>
      </w:r>
    </w:p>
    <w:p>
      <w:r>
        <w:rPr>
          <w:b/>
        </w:rPr>
        <w:t>E. 3.1</w:t>
      </w:r>
    </w:p>
    <w:p>
      <w:r>
        <w:t>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in Gestalt des Art. 29 Abs. 2 der Bundesverfassung der Schweizeri­schen Eidgenossenschaft vom 18. April 1999 (BV, SR 101) ergeben.</w:t>
      </w:r>
    </w:p>
    <w:p>
      <w:r>
        <w:rPr>
          <w:b/>
        </w:rPr>
        <w:t>E. 3.2</w:t>
      </w:r>
    </w:p>
    <w:p>
      <w:r>
        <w:t>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Zürich/Ba­sel/Genf/St. Gal­len 2006, S. 360 ff.; Alfred Kölz/Isabelle Häner, Verwal­tungsverfahren und Verwal­tungsrechtspflege des Bun­des, 2. Aufl., Zü­rich 1998, S. 46, 107 ff.; Markus Schefer, Grund­rechte in der Schweiz, Bern 2005, S. 285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vgl. etwa Auer/Mal­inverni/Hottelier, a.a.O., S. 611 ff.; Reinhold Hotz, St. Galler Kom­men­tar zu Art. 29 BV, Rz. 34 ff.; Kölz/Häner, a.a.O., S. 119; Schefer, a.a.O., S. 300 ff.). Die Begründung eines Ent­scheids soll der betroffenen Person die Tat­sachen und Rechtsnormen zur Kennt­nis bringen, die für die entschei­dende Behörde massgeblich waren. Damit soll der Adressat des Ent­scheids ausserdem in die Lage versetzt werden, den Entscheid sach­gerecht anzufechten (vgl. Felix Uhlmann/Alexandra Schwank, in: Bern­hard Waldmann/Philippe Weissen­berger [Hrsg.], Praxis­kommentar VwVG, Zürich/Ba­sel/Genf 2009, Art. 35, N 10, 17).</w:t>
      </w:r>
    </w:p>
    <w:p>
      <w:r>
        <w:rPr>
          <w:b/>
        </w:rPr>
        <w:t>E. 3.3</w:t>
      </w:r>
    </w:p>
    <w:p>
      <w:r>
        <w:t>Es ist festzustellen, dass der angefochtene Entscheid des BFM die­sen Kriterien nicht in der erforderlichen Weise gerecht wird, soweit die Be­achtung der Begründungspflicht betreffend. Das BFM begründete die Aberkennung der Flüchtlingseigenschaft und den Widerruf des Asyls in der angefochtenen Verfügung unter Hinweis auf Art. 63 Abs. 1 Bst. b AsylG i.V.m. Art. 1 C Ziff. 5 des Abkommens vom 28. Juli 1951 über die Rechtsstellung der Flüchtlinge (FK, SR 0.142.30) im Wesentlichen damit, seit der Anerkennung der Beschwerdeführenden als Flüchtlinge und der Ge­währung des Asyls mit jewei­ligen Verfügungen vom 2. Juni 1992, vom 30. November 1993 und vom 21. Januar 1998 habe sich die politische Situa­tion im Kosovo grundlegend verändert und entspreche nicht mehr je­ner, die seinerzeit fluchtverursachend gewesen sei und zur Gewährung des Asyls in der Schweiz geführt habe. Dabei beschränkte sich das Bundes­amt darauf, auszuführen, inwiefern sich die Lage im Kosovo in den letzten zwölf Jahren und namentlich seit der Unabhängigkeitserklä­rung des Kosovo vom 17. Februar 2008 verändert habe. Indessen wurde weder in der angefochtenen Verfügung noch in der Vernehmlassung vom 9. Dezember 2010 ein Wort dazu gesagt, aus welchen Gründen die Be­schwerdeführenden aus der damaligen Bundesrepublik Jugoslawien flo­hen und in der Schweiz als Flüchtlinge anerkannt wurden beziehungs­weise weshalb ihnen Asyl gewährt wurde. Die Entwicklung der allgemei­nen politischen Lage in der ehemaligen jugoslawischen beziehungsweise serbischen Provinz Kosovo beziehungsweise im heutigen Staat Kosovo wurde somit auch in keiner Weise in Bezug zu den individuellen Fluchtgrün­den der Beschwerdeführenden gesetzt. Somit ist mangels ent­sprechender Ausführungen in der angefochtenen Verfügung auch aus objek­tiver Sicht nicht ohne weiteres ersichtlich, weshalb die Vorinstanz zum Schluss gelangte, die Voraussetzungen für die Anerkennung der Flücht­lingseigenschaft und für die Asylgewährung seien zum heutigen Zeit­punkt nicht mehr gegeben. Aufschluss über die individuellen persönli­chen Verhältnisse der Beschwerdeführenden gibt erst eine Konsultation der vorinstanzlichen Akten. Zu bemängeln ist dabei, dass für die Betroffe­nen aus der angefochtenen Verfügung nicht mit der erforderlichen Klar­heit ersichtlich ist, aufgrund welcher Tatsachen - welche auch den Sachver­halt aufseiten der Beschwerdeführenden zu umfassen haben - das BFM seinen Entscheid fällte. Auf dieser Grundlage aber ist eine sachge­rechte Anfechtung des Entscheids in Frage gestellt, was einer Verlet­zung der Begründungspflicht gleichkommt.</w:t>
      </w:r>
    </w:p>
    <w:p>
      <w:r>
        <w:rPr>
          <w:b/>
        </w:rPr>
        <w:t>E. 3.4</w:t>
      </w:r>
    </w:p>
    <w:p>
      <w:r>
        <w:t>Die Beschwerde ist folglich insofern gutzuheissen, als damit die Aufhe­bung der angefochtenen Ver­fügung beantragt wird, und die Sache ist zur erneuten Beurteilung an die Vorinstanz zurückzuweisen.</w:t>
      </w:r>
    </w:p>
    <w:p>
      <w:r>
        <w:rPr>
          <w:b/>
        </w:rPr>
        <w:t>E. 4.1</w:t>
      </w:r>
    </w:p>
    <w:p>
      <w:r>
        <w:t>Bei diesem Ausgang des Verfahrens sind keine Kosten zu erheben (Art. 63 Abs. 3 VwVG i.V.m. Art. 37 VGG). Der mit Zahlung vom 29. November 2010 geleistete Kostenvorschuss von Fr. 600.-- ist den Be­schwerdeführenden zurückzuerstatten.</w:t>
      </w:r>
    </w:p>
    <w:p>
      <w:r>
        <w:rPr>
          <w:b/>
        </w:rPr>
        <w:t>E. 4.2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der Beschwerdeführenden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den Beschwerdefüh­renden Fr. 400.-- (inkl. Auslagen und Mehrwertsteuer) als Parteient­schädigung zuzusprechen.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