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D-8050/2009 vom 11. Januar 2010</w:t>
      </w:r>
    </w:p>
    <w:p>
      <w:r>
        <w:t>Bundesverwaltungsgericht, 2010-01-11, DE</w:t>
      </w:r>
    </w:p>
    <w:p>
      <w:r>
        <w:rPr>
          <w:b/>
        </w:rPr>
        <w:t xml:space="preserve">Quelle: </w:t>
      </w:r>
      <w:r>
        <w:t>https://mcp.opencaselaw.ch/entscheid/bvger_D-8050_2009</w:t>
      </w:r>
    </w:p>
    <w:p>
      <w:r>
        <w:t>FR: TAF D-8050/2009 du 11 janvier 2010</w:t>
      </w:r>
    </w:p>
    <w:p>
      <w:r>
        <w:t>IT: TAF D-8050/2009 del 11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hat aufschiebende Wirkung (vgl. Art. 55 Abs. 1 VwVG) und in der angefochtenen Verfügung wird einer allfälligen Beschwerde die aufschiebende Wirkung nicht entzogen (vgl. Art. 55 Abs. 2 VwVG). Die angefochtene Verfügung enthält ferner keine Anordnung betreffend vorsorgliche Wegweisung in einen Drittstaat (vgl. Art. 42 Abs. 2 und 3 AsylG in der seit 1. Januar 2008 nicht mehr geltenden Fassung vom 26. Juni 1998), weshalb der Beschwerdeführer berechtigt ist, den Ausgang des Beschwerdeverfahrens in der Schweiz abzuwarten. Unter diesen Umständen ist auf das Eventualbegehren, es sei die aufschiebende Wirkung wiederherzustellen, mangels Rechtsschutzinteresses nicht einzutreten.</w:t>
      </w:r>
    </w:p>
    <w:p>
      <w:r>
        <w:rPr>
          <w:b/>
        </w:rPr>
        <w:t>E. 2.2</w:t>
      </w:r>
    </w:p>
    <w:p>
      <w:r>
        <w:t>Bezüglich des Begehrens des Beschwerdeführers um Akteneinsicht ist festzuhalten, dass die Vorinstanz den ehemaligen Rechtsvertretern des Beschwerdeführers mit Zwischenverfügungen vom 17. November sowie 28. Dezember 2009 bereits Akteneinsicht gewährt hat, weshalb mangels Rechtsschutzinteresses auf das in der Beschwerde erhobene Akteneinsichtsbegehren nicht einzutreten ist.</w:t>
      </w:r>
    </w:p>
    <w:p>
      <w:r>
        <w:rPr>
          <w:b/>
        </w:rPr>
        <w:t>E. 2.3</w:t>
      </w:r>
    </w:p>
    <w:p>
      <w:r>
        <w:t>Hinsichtlich der weiteren Rechtsbegehren ist der Beschwerdeführer legitimiert (Art. 105 AsylG i.V.m. Art. 48 Abs. 1 VwVG); die Beschwerde ist frist- und formgerecht eingereicht worden (Art. 108 Abs. 1 AsylG i.V.m. Art. 52 VwVG), weshalb insoweit darauf einzutreten ist.</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Vorbringen des Beschwerdeführers den Anforderungen an die Glaubhaftigkeit gemäss Art. 7 AsylG nicht standzuhalten vermögen, weshalb diesbezüglich vorab auf die ausführlichen und zutreffenden vorinstanzlichen Erwägungen zu verweisen ist (vgl. Ziffer I; Bst. D. vorstehend). Durch seine teilweise krass widersprüchlichen Vorbringen im vorinstanzlichen Verfahren ist der Beschwerdeführer unglaubwürdig, weshalb ihm die geltend gemachten Asylgründe nicht geglaubt werden können. Auch die Beschwerdevorbringen sind nicht geeignet,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was aber an der offensichtlichen Unglaubhaftigkeit der behaupteten Verfolgungsvorbringen nichts zu ändern vermag. Aufgrund des soeben Ausgeführten ist davon auszugehen, es handle sich bei den geltend gemachten Asylgründen des Beschwerdeführers um ein Sachverhaltskonstrukt.</w:t>
      </w:r>
    </w:p>
    <w:p>
      <w:r>
        <w:rPr>
          <w:b/>
        </w:rPr>
        <w:t>E. 5.2</w:t>
      </w:r>
    </w:p>
    <w:p>
      <w:r>
        <w:t>Zusammenfassend ist festzuhalten, dass es dem Beschwerdeführer aufgrund seiner unglaubhaft geltend gemachten Verfolgungsvorbringen nicht gelungen ist, nachzuweisen oder zumindest glaubhaft zu machen, dass er in der Heimat ernsthafte Nachteile gemäss Art. 3 AsylG erlitten hat oder solche bei der Ausreise zu befürchten hatte oder im Falle der Rückkehr in den Iran befürchten müsste. Der Beschwerdeführer vermag mit seinen Beschwerdevorbringen zu keiner anderen Betrachtungsweise zu führen. Er erfüllt somit die Voraussetzungen zur Zuerkennung der Flüchtlingseigenschaft nicht, weshalb die Vorinstanz das Asylbegehren zu Recht und ohne weitere Abklärungen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Im Iran besteht unbesehen der derzeit herrschenden repressiven Entwicklung keine Situation allgemeiner Gewalt, die sich über das ganze Staatsgebiet oder weite Teile desselben erstrecken würde. Eine gänzlich unsichere, von bewaffneten Konflikten oder permanent drohenden Unruhen dominierte Lage, aufgrund derer der Beschwerdeführer bei einer Rückkehr einer konkreten Gefährdung ausgesetzt würde, besteht nicht. Auch bei allfällig strengen Kontrollen bei der Einreise in sein Heimatland hat der Beschwerdeführer seitens der Behörden nichts zu befürchten, zumal seine Asylgründe vom Gericht als unglaubhaft erachtet werden.</w:t>
      </w:r>
    </w:p>
    <w:p>
      <w:r>
        <w:rPr>
          <w:b/>
        </w:rPr>
        <w:t>E. 7.4.3</w:t>
      </w:r>
    </w:p>
    <w:p>
      <w:r>
        <w:t>Aus den Akten ergeben sich auch keine Anhaltspunkte dafür, dass der Wegweisungsvollzug aus anderen Gründen unzumutbar sein könnte. Beim Beschwerdeführer handelt es sich um einen jungen, alleinstehenden und offenbar gesunden Mann. Ab dem Jahre 2004 bis zu seiner Ausreise aus dem Iran hat er eine eigene Reparaturwerkstatt geführt, weswegen davon auszugehen ist, er könne sich in seiner Heimat auch in wirtschaftlicher Hinsicht wieder integrieren. Gemäss seinen Angaben leben zudem seine Eltern und seine vier Geschwister in seiner Heimatstadt.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Schweizerischen Asylrekurskommission [ARK] in EMARK 2005 Nr. 24 E. 10.1, S. 215). Nach dem Gesagten ist der Vollzug der Wegweisung somit auch als zumutbar zu bezeichnen.</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10.1</w:t>
      </w:r>
    </w:p>
    <w:p>
      <w:r>
        <w:t>Mit dem vorliegenden Entscheid in der Hauptsache wird das Gesuch um Verzicht auf die Erhebung eines Kostenvorschusses gegenstandslos.</w:t>
      </w:r>
    </w:p>
    <w:p>
      <w:r>
        <w:rPr>
          <w:b/>
        </w:rPr>
        <w:t>E. 10.2</w:t>
      </w:r>
    </w:p>
    <w:p>
      <w:r>
        <w:t>Der Beschwerdeführer hat um Gewährung der unentgeltlichen Rechtspflege und Beigabe eines unentgeltlichen Rechtsbeistandes ersucht. Gemäss Art. 65 Abs. 1 VwVG befreit die Beschwerdeinstanz nach Einreichung der Beschwerde eine Partei, die nicht über die erforderlichen Mittel verfügt, auf Antrag von der Bezahlung der Verfahrenskosten, sofern ihr Begehren nicht aussichtslos erscheint. Der bedürftigen Partei wird in einem für sie nicht aussichtslosen Verfahren von der Beschwerdeinstanz ein Anwalt bestellt, wenn es zur Wahrung ihrer Rechte notwendig ist (vgl. Art. 65 Abs. 2 VwVG). Vorliegend erhellt aus den vorstehenden Erwägungen, dass es den vom Beschwerdeführer gestellten Begehren im Moment der Beantragung der unentgeltlichen Rechtspflege mit Blick auf die Erfolgsaussichten an der nötigen Ernsthaftigkeit gefehlt hat (vgl. BGE 125 II 265 E. 4b S. 275). Die Begehren erschienen mit anderen Worten in jenem massgeblichen Zeitpunkt als aussichtslos. Das Gesuch um Gewährung der unentgeltlichen Rechtspflege im Sinne von Art. 65 Abs. 1 und 2 VwVG ist deshalb ohne Erörterung der Fragen der prozessualen Bedürftigkeit und der sachlichen Notwendigkeit einer Rechtsverbeiständung (vgl. dazu BGE 122 I 8 E. 2c S. 51 ff; BGE 120 Ia 43 E. 2 S. 44 ff.) abzuweisen.</w:t>
      </w:r>
    </w:p>
    <w:p>
      <w:r>
        <w:rPr>
          <w:b/>
        </w:rPr>
        <w:t>E. 10.3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