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D-8043/2024 vom 13. Januar 2025</w:t>
      </w:r>
    </w:p>
    <w:p>
      <w:r>
        <w:t>Bundesverwaltungsgericht, 2025-01-13, DE</w:t>
      </w:r>
    </w:p>
    <w:p>
      <w:r>
        <w:rPr>
          <w:b/>
        </w:rPr>
        <w:t xml:space="preserve">Quelle: </w:t>
      </w:r>
      <w:r>
        <w:t>https://mcp.opencaselaw.ch/entscheid/bvger_D-8043_2024</w:t>
      </w:r>
    </w:p>
    <w:p>
      <w:r>
        <w:t>FR: TAF D-8043/2024 du 13 janvier 2025</w:t>
      </w:r>
    </w:p>
    <w:p>
      <w:r>
        <w:t>IT: TAF D-8043/2024 del 13 gennaio 2025</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D-8043/2024 Seite 4 eingereichte Beschwerde (Art. 105 und 108 Abs. 1 AsylG; Art. 52 Abs. 1 VwVG) ist – unter Vorbehalt der nachfolgenden Ausführungen in E.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55 Abs. 1 VwVG kommt der Beschwerde von Gesetzes wegen aufschiebende Wirkung zu, und es besteht weder eine spezialge- setzliche Ausnahme, noch hat das SEM die aufschiebende Wirkung entzo- gen. Auf den Eventualantrag, die aufschiebende Wirkung sei wiederherzu- stellen (vgl. Ziff. 5 der Rechtsbegehren) ist daher mangels Rechtsschutz- interesses nicht einzutreten.</w:t>
      </w:r>
    </w:p>
    <w:p>
      <w:r>
        <w:rPr>
          <w:b/>
        </w:rPr>
        <w:t>E. 4.2</w:t>
      </w:r>
    </w:p>
    <w:p>
      <w:r>
        <w:t>Der Beschwerde liegt ein an das SEM adressiertes Formular bei, mit welchem um Akteneinsicht ersucht wird. Dieses Gesuch wird indes nicht näher begründet; gleichzeitig ist aufgrund der Aktenlage davon auszuge- hen, dass dem Beschwerdeführer (beziehungsweise seiner vormaligen Rechtsvertretung) die editionspflichtigen Akten bereits zusammen mit der vorinstanzlichen Verfügung ausgehändigt worden sind. In der Beschwerde wird ebenfalls nicht gerügt, die Akteneinsicht sei nicht oder nur unvollstän- dig gewährt worden. Das Akteneinsichtsgesuch ist daher als obsolet zu er- achten, womit sich auch eine Weiterleitung an das SEM erübrigt.</w:t>
      </w:r>
    </w:p>
    <w:p>
      <w:r>
        <w:rPr>
          <w:b/>
        </w:rPr>
        <w:t>E. 5.1</w:t>
      </w:r>
    </w:p>
    <w:p>
      <w:r>
        <w:t>Der Beschwerdeführer rügt in formeller Hinsicht sinngemäss eine Ver- letzung der Prüfungs- und Begründungspflicht (vgl. Art. 32 Abs. 1 VwVG und Art. 35 Abs. 1 VwVG), indem er geltend macht, das SEM habe seine spezifischen Bedürfnisse und seine besondere Verletzlichkeit ungenügend</w:t>
      </w:r>
    </w:p>
    <w:p>
      <w:r>
        <w:t>D-8043/2024 Seite 5 gewürdigt und damit das Übereinkommen vom 20. November 1989 über die Rechte des Kindes (KRK, SR 0.107) verletzt.</w:t>
      </w:r>
    </w:p>
    <w:p>
      <w:r>
        <w:rPr>
          <w:b/>
        </w:rPr>
        <w:t>E. 5.2</w:t>
      </w:r>
    </w:p>
    <w:p>
      <w:r>
        <w:t>Gemäss der Rechtsprechung des Bundesverwaltungsgerichts sind die Asylbehörden aufgrund von Art. 3 und Art. 22 KRK verpflichtet, das Kindes- wohl im Rahmen der Zumutbarkeitsprüfung als gewichtigen Aspekt mitzu- berücksichtigen. Beim Entscheid über den Vollzug der Wegweisung von unbegleiteten minderjährigen Asylsuchenden (UMA) hat das SEM unter dem Blickwinkel des Kindeswohls von Amtes wegen spezifische Abklärun- gen zur persönlichen Situation der UMA vorzunehmen. Der Vollzug von Wegweisungen minderjähriger Asylsuchender setzt insbesondere voraus, dass feststeht, ob und inwiefern die minderjährige Person nach ihrer Rück- kehr unter die Obhut eines Familienmitglieds oder einer besonderen Insti- tution genommen werden kann (vgl. Art. 69 Abs. 4 AIG [SR 142.20]; BVGE 2015/30 E. 7.3, BVGE 2021 VI/3). Im vorliegenden Fall hat das SEM in seinen Erwägungen ausgeführt, dass der Beschwerdeführer eigenen Angaben zufolge zuletzt zusammen mit seiner Mutter bei den Grosseltern im Dorf F._______ gelebt habe und sowohl mit der Mutter als auch seinem Onkel in Kontakt stehe. Es sei daher davon auszugehen, dass er in sein familiäres Umfeld zurückkehren und nach Vereinbarung vom Onkel am Flughafen in Dhaka abgeholt werden könne. Ferner spreche nichts dage- gen, dass er seine Schulbildung in Bangladesch fortsetzen könne, zumal er nie geltend gemacht habe, seine Familie lebe in wirtschaftlicher Not, und davon auszugehen sei, dass seine Mutter eine Witwenrente erhalte und er bei Bedarf auch von seinem Onkel unterstützt werden könnte (vgl. dazu Ziff. III.2 der vorinstanzlichen Verfügung). Das SEM hat damit in nachvoll- ziehbarer und genügend einlässlicher Weise dargelegt, dass aufgrund des Sachverhalts – auch ohne weitere Abklärungen – davon auszugehen ist, dass der Beschwerdeführer nach seiner Ankunft in Bangladesch in die Ob- hut seiner Familie zurückkehren kann. Die sinngemässe Rüge, das SEM habe die ihm obliegende Prüfungs- und Begründungspflicht verletzt, er- weist sich daher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D-8043/2024 Seite 6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nach dem Rücktritt der vormaligen Premierministerin am 5. August 2024 sei in Bang- ladesch eine Übergangsregierung unter dem Vorsitz von Muhammad Yunus gebildet worden. Die (…) habe ihre Macht damit verloren. Im Bezirk E._______ hätten elf Upazila Parishad-Vorsitzende der (…) angehört. Aus der Presse sei bekannt, dass die meisten von ihnen nach dem Sturz der vormaligen Premierministerin untergetaucht seien. Der Vorsitzende der U- pazila D._______, G._______, sei angeblich krank. Demnach sei die gel- tend gemachte Bedrohung durch Personen, welche durch den genannten Vorsitzenden geschützt seien, nicht mehr aktuell. Die Asylvorbringen seien daher flüchtlingsrechtlich nicht relevant. Im Übrigen seien die Vorbringen ohnehin unglaubhaft; denn der Beschwerdeführer habe unsubstanziierte Aussagen zur Identität der Täter gemacht und auch nicht angeben können, ob diese festgenommen worden seien. Ob der fragliche Vorsitzende immer noch im Amt sei, habe er ebenfalls nicht gewusst. Ausserdem habe er be- treffend den Zeitpunkt des Umzugs nach F._______ sowie betreffend die Verlegung seines Vaters ins Krankenhaus von E._______ widersprüchli- che Angaben gemacht. Weder der eingereichte Todesschein noch die Fo- tos belegten die geltend gemachten Umstände des Todes des Vaters. Im Übrigen seien derartige Dokumente in Bangladesch leicht käuflich zu er- werben. Insgesamt seien die Asylvorbringen weder flüchtlingsrechtlich re- levant noch glaubhaft, weshalb das Asylgesuch abzulehnen sei. Die Vor- bringen in der Stellungnahme zum Entscheidentwurf vermöchten zu keiner anderen Einschätzung zu führen.</w:t>
      </w:r>
    </w:p>
    <w:p>
      <w:r>
        <w:rPr>
          <w:b/>
        </w:rPr>
        <w:t>E. 7.2</w:t>
      </w:r>
    </w:p>
    <w:p>
      <w:r>
        <w:t>Der Beschwerdeführer entgegnet (im Asylpunkt), auf lokaler Ebene sei die (…) nach wie vor dominant, insbesondere in seiner Herkunftsregion. Angesichts seiner traumatischen Erlebnisse sei es sodann unangemes- sen, ihm hinsichtlich der Namen der Täter mangelndes</w:t>
      </w:r>
    </w:p>
    <w:p>
      <w:r>
        <w:t>D-8043/2024 Seite 7 Erinnerungsvermögen vorzuwerfen. Die Namen der beiden Schüler seien ohnehin nicht relevant für die Beurteilung der Bedrohungslage; denn diese ergebe sich bereits aus der fortbestehenden familiären und sozialen Ver- netzung der Gruppierung (…), welcher die Schüler angehörten. Soweit das SEM ihm bezüglich der Geburtsurkunde Urkundenfälschung vorwerfe, sei festzustellen, dass der Vorwurf unbegründet sei, zumal er für die Organi- sation der Dokumente auf die Unterstützung von Erwachsenen angewie- sen gewesen sei.</w:t>
      </w:r>
    </w:p>
    <w:p>
      <w:r>
        <w:rPr>
          <w:b/>
        </w:rPr>
        <w:t>E. 8</w:t>
      </w:r>
    </w:p>
    <w:p>
      <w:r>
        <w:t>Den Aussagen des Beschwerdeführers zufolge wurde beziehungsweise wird er im Heimatland nicht durch eine staatliche Behörde, sondern durch Privatpersonen verfolgt, nämlich durch die von seinem Vater beim Schum- meln erwischten Schüler sowie deren Angehörige. Das Verfolgungsmotiv ist demnach offensichtlich Rache; denn nach Auffassung der Schüler war der Vater des Beschwerdeführers für ihren Schulausschluss verantwort- lich. Die geltend gemachte Verfolgung beruht damit nicht auf Gründen im Sinne von Art. 3 Abs. 1 AsylG. Somit fehlt es der geltend gemachten Ver- folgung an einem flüchtlingsrechtlich relevanten Verfolgungsgrund. Über- dies bestehen auch keine konkreten Hinweise dafür, dass die heimatlichen Behörden – welche grundsätzlich als schutzfähig und -willig zu erachten sind (vgl. dazu statt vieler das Urteil des BVGer D-2246/2019 vom 23. Feb- ruar 2021 E. 6.3 S. 19, m.w.H.) – im konkreten Fall aus flüchtlingsrechtlich relevanten (beispielsweise politischen) Gründen nicht gewillt wären, den Beschwerdeführer im Rahmen ihrer Möglichkeiten vor widerrechtlichen Handlungen seitens der genannten Personen zu schützen respektive ge- gen diese strafrechtlich vorzugehen. Vielmehr hatten sie gar keine Gele- genheit, ihrer Schutzpflicht nachzukommen, da der Beschwerdeführer die Übergriffe und Drohungen der Täter den Akten zufolge gar nicht zur An- zeige gebracht hat, sondern stattdessen ausgereist ist. Soweit der Be- schwerdeführer darauf verweist, einer der Täter habe einen einflussreichen Verwandten, ist ferner festzustellen, dass aus der vom Beschwerdeführer geschilderten Reaktion der Täter zu schliessen ist, dass diese sehr wohl behördliche Massnahmen fürchteten, sonst hätten sie sich wohl kaum be- müssigt gefühlt, von der Familie des Beschwerdeführers gewaltsam den Rückzug der Anzeige zu verlangen. Selbst wenn es also zutreffen sollte, dass der Onkel des einen Täters (…)-Mitglied und (…) ist beziehungsweise war, weist das Verhalten der Täter darauf hin, dass sie entgegen den Vor- bringen des Beschwerdeführers nicht in der Lage sind, die Behörden in relevanter Weise zu beeinflussen. Wie das SEM sodann zu Recht bemerkt hat, hat der Einfluss der (…) nach dem Rücktritt der vormaligen</w:t>
      </w:r>
    </w:p>
    <w:p>
      <w:r>
        <w:t>D-8043/2024 Seite 8 Premierministerin ohnehin landesweit massiv abgenommen. Der Presse ist ausserdem zu entnehmen, dass die Vorsitzenden aller Upazila Councils in ganz Bangladesch ihres Amtes enthoben worden sind (vgl. […], zuletzt besucht am 8. Januar 2025). Die Befürchtung, die Täter könnten via den Onkel des einen Schülers die Behörden zum Nachteil des Beschwerdefüh- rers beeinflussen, erscheint damit unbegründet. Es ist dem Beschwerde- führer daher ohne weiteres zuzumuten, bei Bedarf die heimatlichen Sicher- heitsbehörden um Schutz zu ersuchen. Nach dem Gesagten ist die geltend gemachte Verfolgung respektive Verfolgungsfurcht als nicht asylrelevant zu erachten.</w:t>
      </w:r>
    </w:p>
    <w:p>
      <w:r>
        <w:rPr>
          <w:b/>
        </w:rPr>
        <w:t>E. 9</w:t>
      </w:r>
    </w:p>
    <w:p>
      <w:r>
        <w:t>Zusammenfassend ist festzustellen, dass die vom Beschwerdeführer gel- tend gemachten Asylgründe keine Verfolgung im Sinne von Art. 3 AsylG darstellen. Auf die Prüfung der Glaubhaftigkeit der Vorbringen kann damit verzichtet werden. Im Ergebnis hat das SEM die Flüchtlingseigenschaft zu Recht verneint und das Asylgesuch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w:t>
      </w:r>
    </w:p>
    <w:p>
      <w:r>
        <w:t>D-8043/2024 Seite 9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Da es dem Beschwerdeführer nicht gelungen ist, eine flüchtlings-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weder aus den Aussagen des Beschwerde- führers noch aus den Akten Anhaltspunkte dafür, dass er für den Fall einer Ausschaffung nach Bangladesch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Dies ist ihm – wie die vorstehenden Erwägungen im Asylpunkt zeigen – nicht gelungen. Die allgemeine Men- schenrechtssituation in Bangladesch lässt den Wegweisungsvollzug im heutigen Zeitpunkt ebenfalls nicht als unzulässig erscheinen.</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w:t>
      </w:r>
    </w:p>
    <w:p>
      <w:r>
        <w:t>D-8043/2024 Seite 10 aufgrund von Situationen wie Krieg, Bürgerkrieg, allgemeiner Gewalt und medizinischer Notlage konkret gefährdet sind. Wird eine konkrete Gefähr- dung festgestellt, ist – unter Vorbehalt von Art. 83 Abs. 7 AIG – die vorläu- fige Aufnahme zu gewähren. Im Rahmen der Zumutbarkeitsprüfung ist namentlich auch der Minderjäh- rigkeit der asylsuchenden Person Rechnung zu tragen. Die Asylbehörden sind dazu verpflichtet abzuklären, inwiefern die minderjährige Person nach ihrer Rückkehr unter die Obhut eines Familienmitglieds oder einer beson- deren Institution genommen werden kann, und ob diese Personen oder Institutionen in der Lage sind, ihre Bedürfnisse zu decken (vgl. BVGE 2021 VI/3 E. 11.5.2, S. 29; s. auch Art. 69 Abs. 4 AIG [SR 142.20]).</w:t>
      </w:r>
    </w:p>
    <w:p>
      <w:r>
        <w:rPr>
          <w:b/>
        </w:rPr>
        <w:t>E. 11.3.1</w:t>
      </w:r>
    </w:p>
    <w:p>
      <w:r>
        <w:t>In Bangladesch herrscht zurzeit weder Krieg oder Bürgerkrieg noch eine Situation allgemeiner Gewalt. Der Wegweisungsvollzug dorthin ist da- her als generell zumutbar zu erachten (vgl. statt vieler Urteil des BVGer D-1656/2020 vom 22. Juli 2024 E. 6.6, m.w.H.).</w:t>
      </w:r>
    </w:p>
    <w:p>
      <w:r>
        <w:rPr>
          <w:b/>
        </w:rPr>
        <w:t>E. 11.3.2</w:t>
      </w:r>
    </w:p>
    <w:p>
      <w:r>
        <w:t>Es bestehen sodann auch keine individuellen Vollzugshindernisse. Der Beschwerdeführer verfügt eigenen Angaben zufolge an seinem letzten Wohnort in F._______ (D._______, E._______) über mehrere Familienan- gehörige, namentlich seine Mutter, seine Grosseltern sowie seinen Onkel mit dessen Familie. Sowohl mit der Mutter als auch mit dem Onkel stand er seit seiner Ankunft in der Schweiz in Kontakt. Seine Wohnsituation im Falle seiner Rückkehr kann damit als gesichert erachtet werden. Zu den finanziellen Verhältnissen der Familie hat sich der Beschwerdeführer nicht explizit geäussert; es ist aber immerhin festzustellen, dass er keine finan- zielle Not geltend machte und es der Familie offensichtlich möglich war, ihm die Reise in die Schweiz und zuvor eine normale schulische Ausbil- dung zu finanzieren. Die Tatsache, dass sich der Onkel nach dem Tod des Vaters um den Beschwerdeführer sowie dessen Mutter und Bruder geküm- mert hat (vgl. A25 F42), spricht – mangels anderweitiger konkreter Anhalts- punkte – ferner für die Annahme, dass sich der Onkel auch in Zukunft für sein Wohlergehen einsetzen und ihn bei Bedarf unterstützen wird. Nach dem Gesagten ist ohne weiteres davon auszugehen, dass der heute (…)-jährige Beschwerdeführer in das ihm vertraute familiäre Umfeld zu- rückkehren kann, von seinen Angehörigen in einer dem Kindeswohl ent- sprechenden Weise betreut und unterstützt werden wird und seine Ausbil- dung fortsetzen kann. Der nicht näher substanziierte Einwand in der Be- schwerde, das Umfeld des Onkels könne dem Beschwerdeführer nicht den notwendigen Schutz und die benötigten Entwicklungsmöglichkeiten bieten,</w:t>
      </w:r>
    </w:p>
    <w:p>
      <w:r>
        <w:t>D-8043/2024 Seite 11 vermag an dieser Einschätzung nichts zu ändern. Die Akten enthalten so- dann auch keine Hinweise auf relevante gesundheitliche Probleme des Be- schwerdeführers. Im Übrigen ist darauf hinzuweisen, dass es dem SEM obliegen wird, bei der Bestimmung der konkreten Vollzugsmodalitäten den Bedürfnissen des minderjährigen Beschwerdeführers Rechnung zu tragen und vor der Ausschaffung sicherzustellen, dass er in Bangladesch einem Familienmitglied übergeben wird, welches den Schutz des Kindes gewähr- leistet.</w:t>
      </w:r>
    </w:p>
    <w:p>
      <w:r>
        <w:rPr>
          <w:b/>
        </w:rPr>
        <w:t>E. 11.3.3</w:t>
      </w:r>
    </w:p>
    <w:p>
      <w:r>
        <w:t>Der Vollzug der Wegweisung ist demnach als zumutbar zu erach- ten.</w:t>
      </w:r>
    </w:p>
    <w:p>
      <w:r>
        <w:rPr>
          <w:b/>
        </w:rPr>
        <w:t>E. 11.4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11.5</w:t>
      </w:r>
    </w:p>
    <w:p>
      <w:r>
        <w:t>Zusammenfassend ist festzustellen, dass die Vorinstanz den Wegwei- sungsvollzug zu Recht als zulässig, zumutbar und möglich bezeichnet hat.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demnach abzuweisen, soweit darauf einzutreten ist.</w:t>
      </w:r>
    </w:p>
    <w:p>
      <w:r>
        <w:rPr>
          <w:b/>
        </w:rPr>
        <w:t>E. 13.1</w:t>
      </w:r>
    </w:p>
    <w:p>
      <w:r>
        <w:t>Angesichts des direkten Entscheids in der Sache erweist sich der An- trag, es sei auf die Erhebung eines Kostenvorschusses zu verzichten, als gegenstandslos.</w:t>
      </w:r>
    </w:p>
    <w:p>
      <w:r>
        <w:rPr>
          <w:b/>
        </w:rPr>
        <w:t>E. 13.2</w:t>
      </w:r>
    </w:p>
    <w:p>
      <w:r>
        <w:t>Die Gesuche um Gewährung der unentgeltlichen Prozessführung und amtliche Verbeiständung sind ungeachtet der geltend gemachten Bedürf- tigkeit abzuweisen, da sich die Beschwerdebegehren entsprechend den vorstehenden Erwägungen von vornherein als aussichtslos erwiesen ha- ben.</w:t>
      </w:r>
    </w:p>
    <w:p>
      <w:r>
        <w:rPr>
          <w:b/>
        </w:rPr>
        <w:t>E. 13.3</w:t>
      </w:r>
    </w:p>
    <w:p>
      <w:r>
        <w:t>Demzufolge sind die Verfahrenskosten in der Höhe von Fr. 750.– dem Beschwerdeführer aufzuerlegen (Art. 63 Abs. 1 VwVG, Art. 1–3 des</w:t>
      </w:r>
    </w:p>
    <w:p>
      <w:r>
        <w:t>D-8043/2024 Seite 12 Reglements vom 21. Februar 2008 über die Kosten und Entschädigungen vor dem Bundesverwaltungsgericht [VGKE, SR 173.320.2]).</w:t>
      </w:r>
    </w:p>
    <w:p>
      <w:r>
        <w:t>(Dispositiv nächste Seite)</w:t>
      </w:r>
    </w:p>
    <w:p>
      <w:r>
        <w:t>D-8043/2024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