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D-8024/2010 vom 7. Februar 2011</w:t>
      </w:r>
    </w:p>
    <w:p>
      <w:r>
        <w:t>Bundesverwaltungsgericht, 2011-02-07, DE</w:t>
      </w:r>
    </w:p>
    <w:p>
      <w:r>
        <w:rPr>
          <w:b/>
        </w:rPr>
        <w:t xml:space="preserve">Quelle: </w:t>
      </w:r>
      <w:r>
        <w:t>https://mcp.opencaselaw.ch/entscheid/bvger_D-8024_2010</w:t>
      </w:r>
    </w:p>
    <w:p>
      <w:r>
        <w:t>FR: TAF D-8024/2010 du 7 février 2011</w:t>
      </w:r>
    </w:p>
    <w:p>
      <w:r>
        <w:t>IT: TAF D-8024/2010 del 7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Wie in der Zwischenverfügung vom 23. November 2010 festgestellt, richtet sich die Beschwerde ausschliesslich gegen den angeordneten Wegweisungsvollzug. Somit sind die Ziffern 1, 2 und 3 der Verfügung des BFM vom 18. Oktober 2010 mangels Anfechtung in Rechtskraft erwachsen. Gegenstand des Beschwerdeverfahrens bildet mithin einzig die Frage, ob das BFM den Wegweisungsvollzug zu Recht angeordnet hat oder ob wegen des Vorhandenseins allfälliger Vollzugshindernisse (namentlich Unzumutbarkeit des Wegweisungsvollzugs) die vorläufige Aufnahme anzuordnen ist.</w:t>
      </w:r>
    </w:p>
    <w:p>
      <w:r>
        <w:rPr>
          <w:b/>
        </w:rPr>
        <w:t>E. 5.1</w:t>
      </w:r>
    </w:p>
    <w:p>
      <w:r>
        <w:t>In ihrer Beschwerdeschrift vom 16. November 2010 macht die Beschwerdefüh­rerin im Wesentlichen geltend, nach ihrer Ankunft am Flug­hafen Zürich habe ihr eine unbekannte Dame den Reisepass abgenom­men und sie nach Q._______ mitgenommen, um sie der Prostitution in einem Bordell zuzuführen. Mit dieser Tätigkeit hätte sie ihre Schulden ab­zahlen sollen. Sie habe sich diesem Ansinnen indessen verweigert und statt­dessen tagelang geweint, bis sich eine Brasilianerin namens Julia ih­rer erbarmt und ihr nach zwei Wochen zur Flucht verholfen habe. In der Folge habe sie mit Hilfe von Afrikanerinnen den Weg zum EVZ M._______ gefun­den. Aufgrund dieser Umstände dränge sich der Eindruck auf, es handle sich bei der Beschwerdeführerin um ein mögliches Opfer von Frau­enhandel. Die Vorinstanz gehe im angefochtenen Entscheid mit kei­ner Silbe auf dieses Thema ein. Damit habe die Vorinstanz ihre Pflicht, den entscheidrelevanten Sachverhalt von Amtes wegen zu erstellen, ver­letzt. Im Sinne des Eventualbegehrens müsse deshalb allenfalls eine er­neute Befragung durch in diesen Fragen geschultes Personal durchge­führt werden. Erst eine erneute Anhörung werde das Schutzbedürfnis der Beschwerdeführerin offenkundig machen. Aufgrund dieses Bedürfnisses sei die Vorinstanz anzuweisen, die vorläufige Aufnahme der Beschwerdefüh­rerin in der Schweiz zu verfügen.</w:t>
      </w:r>
    </w:p>
    <w:p>
      <w:r>
        <w:rPr>
          <w:b/>
        </w:rPr>
        <w:t>E. 5.2</w:t>
      </w:r>
    </w:p>
    <w:p>
      <w:r>
        <w:t>Im Asylverfahren ist der Sachverhalt grundsätzlich von Amtes wegen festzustellen (Art. 12 VwVG i.V.m. Art. 6 AsylG). Die behördliche Untersuchungspflicht wird durch die den Asylsuchenden gestützt auf Art. 8 AsylG auferlegte Mitwirkungspflicht eingeschränkt, wobei dieser insbesondere bei der Anhörung vollständig anzugeben hat, weshalb er um Asyl nachsucht. Ein Asylsuchender hat Anspruch auf Mitwirkung, was sich unmittelbar aus dem Anspruch auf rechtliches Gehör (Art. 29 Abs. 2 der Bundesverfassung der Schweizerischen Eidgenossenschaft vom 18. April 1999 [BV, SR 101]; Art. 29 ff. VwVG i.V.m. Art. 6 AsylG) ergibt. Im Rahmen dieses Rechts kann er seine Beweise anbieten, welche grundsätzlich abzunehmen sind, soweit der zu beweisende Sachverhalt rechtserheblich ist (vgl. auch Art. 33 Abs. 1 VwVG i.V.m. Art. 6 AsylG). Die Behörde darf - im Sinne einer antizipierten Beweiswürdigung - von der Beweisabnahme dann absehen, wenn angenommen werden kann, die rechtliche Überzeugung würde durch weitere Beweiserhebungen nicht geändert. Dies gilt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Im Rahmen der unmittelbar aus Art. 29 Abs. 2 BV folgenden behördlichen Begründungspflicht (Art. 35 Abs. 1 VwVG) hat die verfügende Behörde denn auch die Überlegungen, von denen sie sich leiten liess und auf die sich ihr Entscheid stützt, substanziiert zu nennen. Eine hinreichende Begründung bildet die Grundlage für eine sachgerechte Anfechtung der Verfügung und stellt eine unabdingbare Voraussetzung für die Beurteilung ihrer Rechtmässigkeit durch die Beschwerdeinstanz dar.</w:t>
      </w:r>
    </w:p>
    <w:p>
      <w:r>
        <w:rPr>
          <w:b/>
        </w:rPr>
        <w:t>E. 5.3</w:t>
      </w:r>
    </w:p>
    <w:p>
      <w:r>
        <w:t>Die Vorbringen in der Beschwerdeschrift vermögen insofern nicht zu überzeugen, als die dort aufgeworfene Frage, ob sich in der Schweiz jemand einer Straftat gegenüber der Beschwerdeführerin schuldig gemacht hat, jedenfalls nicht im Rahmen eines Asylverfahrens abgeklärt werden muss. Bekanntlich ist die Aufklärung von Straftaten in der Schweiz Angelegenheit der zuständigen Ermittlungsbehörde. Indessen würde in casu die rechtliche Überzeugung des Bundesverwaltungsgerichts durch die Abklärung des wahren Sachverhalts nicht einmal beeinflusst, weil im vorliegenden Beschwerdeverfahren lediglich die Frage zu beantworten ist, ob der Wegweisungsvollzug nach Uganda zulässig, zumutbar und möglich ist. Ob der Beschwerdeführerin hingegen der weitere Aufenthalt in der Schweiz zugemutet werden kann, ist demgegenüber asylrechtlich belanglos. Dementsprechend trifft der Vorwurf, die Vorinstanz hätte im Zusammenhang mit Frauenhandel und allfälligen weiteren Delikten zusätzliche Abklärungen vornehmen müssen, ins Leere, und das Eventualbegehren, der Fall sei zur vollständigen Abklärung des Sachverhalts an die Vorinstanz zurückzuweisen, ist abzuweisen.</w:t>
      </w:r>
    </w:p>
    <w:p>
      <w:r>
        <w:rPr>
          <w:b/>
        </w:rPr>
        <w:t>E. 6.1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unzulässig, wenn völkerrechtliche Verpflichtungen der Schweiz einer Weiter- oder Rückreise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der Beschwerdeführerin nicht gelungen ist, eine asylrechtlich erhebliche Gefährdung nachzuweisen oder glaubhaft zu machen, findet das in Art. 5 AsylG verankerte Prinzip des flüchtlingsrechtlichen Non-Refoulements keine Anwendung. Eine Rückkehr der Beschwerdeführerin in den Heimatstaat ist demnach unter dem Aspekt von Art. 5 AsylG rechtmässig.</w:t>
      </w:r>
    </w:p>
    <w:p>
      <w:r>
        <w:rPr>
          <w:b/>
        </w:rPr>
        <w:t>E. 6.2.3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Entscheidungen und Mitteilungen der ARK [EMARK] 2001 Nr. 16, mit weiteren Hinweisen;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Abs.7 AuG - die vorläufige Aufnahme zu gewähren (vgl. Botschaft zum Bundesgesetz über die Ausländerinnen und Ausländer vom 8. März 2002, BBl 2002 3818).</w:t>
      </w:r>
    </w:p>
    <w:p>
      <w:r>
        <w:rPr>
          <w:b/>
        </w:rPr>
        <w:t>E. 6.3.2</w:t>
      </w:r>
    </w:p>
    <w:p>
      <w:r>
        <w:t>Angesichts der Situation in Uganda kann im heutigen Zeitpunkt nicht von einer Situation allgemeiner Gewalt, von kriegerischen oder bürgerkriegsähnlichen Verhältnissen gesprochen werden, die für die von der Wegweisung betroffene Beschwerdeführerin bei einer Rückkehr eine konkrete Gefährdung darstellen würden. Das Bundesverwaltungsgericht hat keinen Anlass, an der überzeugenden Beurteilung des BFM Abstriche zu machen: Die Behörden und Organisationen in Uganda sind willens und in der Lage, Schutz gegen die geltend gemachte, strafbare Handlung zu gewähren und diese nötigenfalls zu sanktionieren. Gegebenenfalls kann die Beschwerdeführerin allfälligen Problemen durch eine innerstaatliche Wohnsitzverlegung ausweichen. Aufgrund dieser Situation hat die Beschwerdeführerin bei einer Rückkehr keine konkrete Gefahr zu befürchten.</w:t>
      </w:r>
    </w:p>
    <w:p>
      <w:r>
        <w:rPr>
          <w:b/>
        </w:rPr>
        <w:t>E. 6.3.3</w:t>
      </w:r>
    </w:p>
    <w:p>
      <w:r>
        <w:t>Aufgrund der generellen Situation in Uganda und des Persönlichkeitsprofils der Beschwerdeführerin bestehen keine erheblichen oder unmittelbaren Hinweise darauf, dass sie bei ihrer Rückkehr in eine ihre Existenz bedrohende Situation geraten könnte, dies umso weniger, als sie nach eigenen Angaben längere Zeit vor ihrem Abflug aus dem Heimatstaat bereits selbständig lebte (A12/11 F52/3 S. 5, A1/10 Ziff. 16 S. 6, Ziff. 8 S. 3) und keine Hinweise auf Zwangsprostitution vorliegen (vgl. Instruktionsverfügung vom 23. November 2010 S. 4). Der Wegweisungsvollzug erweist sich demnach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8. Dezember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