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D-8007/2016 vom 9. Februar 2017</w:t>
      </w:r>
    </w:p>
    <w:p>
      <w:r>
        <w:t>Bundesverwaltungsgericht, 2017-02-09, DE</w:t>
      </w:r>
    </w:p>
    <w:p>
      <w:r>
        <w:rPr>
          <w:b/>
        </w:rPr>
        <w:t xml:space="preserve">Quelle: </w:t>
      </w:r>
      <w:r>
        <w:t>https://mcp.opencaselaw.ch/entscheid/bvger_D-8007_2016</w:t>
      </w:r>
    </w:p>
    <w:p>
      <w:r>
        <w:t>FR: TAF D-8007/2016 du 9 février 2017</w:t>
      </w:r>
    </w:p>
    <w:p>
      <w:r>
        <w:t>IT: TAF D-8007/2016 del 9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1.3</w:t>
      </w:r>
    </w:p>
    <w:p>
      <w:r>
        <w:t>Die Ziffer 2 des Dispositivs der angefochtenen Verfügung (Ablehnung des Asylgesuchs und Wegweisung) ist mangels Anfechtung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Das SEM begründete seine Verfügung damit, dass die vom Beschwerdeführer geschilderte Bedrohungslage der zurzeit herrschenden Situation und allgemeinen gegenwärtigen Gewalt in Syrien geschuldet sei. Er habe keine Hinweise auf eine gezielte Verfolgung seiner Person im Bürgerkrieg genannt und Probleme mit den syrischen Behörden oder anderen Organisationen explizit verneint. Des Weiteren habe er nach eigenen Angaben im Rahmen des Bürgerkriegs weder auf der Seite des Regimes noch der Opposition gestanden und seine neutrale Haltung sei von allen Seiten akzeptiert worden. Ferner seien ihm auch aufgrund seiner palästinensischen Herkunft keine Nachteile erwachsen. Sodann seien seinen Vorbringen keinerlei Hinweise zu entnehmen, wonach er mit beachtlicher Wahrscheinlichkeit und in absehbarer Zukunft zum Kampf aufgeboten worden wäre, zumal er als einziger Sohn vom Militärdienst dispensiert worden sei und keinen Kontakt zu den Militärbehörden gehabt habe. Eine gezielte Verfolgung seiner Person beziehungsweise begründete Furcht vor einer solchen im Sinne von Art. 3 AsylG liege folglich nicht vor. Demzufolge erfülle er die Flüchtlingseigenschaft nicht, so dass sein Asylgesuch abzulehnen sei.</w:t>
      </w:r>
    </w:p>
    <w:p>
      <w:r>
        <w:rPr>
          <w:b/>
        </w:rPr>
        <w:t>E. 5.2</w:t>
      </w:r>
    </w:p>
    <w:p>
      <w:r>
        <w:t>In der Beschwerde wird geltend gemacht, das SEM habe die illegale Ausreise des Beschwerdeführers in der angefochtenen Verfügung zwar erwähnt, es jedoch unterlassen, die Glaubhaftigkeit und die Folgen der illegalen Ausreise zu prüfen. Der Beschwerdeführer habe die illegale Ausreise substantiiert, schlüssig und detailliert beschrieben, weshalb die Glaubhaftigkeit derselben als erstellt zu erachten sei. Aufgrund der illegalen Ausreise müsse er in Syrien mit einer Strafverfolgung und einer allfälligen Haftstrafe zwischen drei und sechs Monaten unter prekären Verhältnissen rechnen, wobei Rückkehrer zusätzlich Gefahr liefen, gefoltert zu werden (vgl. Schweizerische Flüchtlingshilfe [SFH], Syrien: Statut von palästinensischen Flüchtlingen, 7. November 2009, abrufbar unter: https://www.fluechtlingshilfe.ch/assets/herkunftslaender/mittlerer-osten-zentralasien/syrien/syrien-status-von-palaestinensischen-fluechtlingen.pdf und Urteil des BVGer D-7813/2008 vom 3. September 2009). Nach dem Ausgeführten stelle die illegale Ausreise des Beschwerdeführers einen subjektiven Nachfluchtgrund dar, folglich sei er als Flüchtling zu anerkennen. Das SEM habe die illegale Ausreise und deren Folgen somit ungenügend geprüft, weshalb die angefochtene Verfügung - sollte nicht auf Anerkennung der Flüchtlingseigenschaft geschlossen werden - wegen Verletzung des Anspruchs auf rechtliches Gehör und der diesem immanenten Begründungspflicht zur ausführlichen Begründung an die Vorinstanz zurückzuweisen sei.</w:t>
      </w:r>
    </w:p>
    <w:p>
      <w:r>
        <w:rPr>
          <w:b/>
        </w:rPr>
        <w:t>E. 6</w:t>
      </w:r>
    </w:p>
    <w:p>
      <w:r>
        <w:t>Nachfolgend ist vorab auf die in der Beschwerde erhobene formelle Rüge einzugehen. Diesbezüglich wird in der Beschwerde vorgebracht, das SEM habe den Anspruch des Beschwerdeführers auf rechtliches Gehör verletzt, indem es die Glaubhaftigkeit und die Folgen der illegalen Ausreise nicht geprüft habe.</w:t>
      </w:r>
    </w:p>
    <w:p>
      <w:r>
        <w:rPr>
          <w:b/>
        </w:rPr>
        <w:t>E. 6.1</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 Gemäss Art. 6 AsylG i.V.m. Art. 12 VwVG stellen die Asylbehörden den rechtserheblichen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Diese behördliche Untersuchungspflicht wird zudem durch die den Asylsuchenden gemäss Art. 8 AsylG obliegende Mitwirkungspflicht eingeschränkt (vgl. dazu BVGE 2007/30 E. 5.5.2., m.w.H.).</w:t>
      </w:r>
    </w:p>
    <w:p>
      <w:r>
        <w:rPr>
          <w:b/>
        </w:rPr>
        <w:t>E. 6.2</w:t>
      </w:r>
    </w:p>
    <w:p>
      <w:r>
        <w:t>Wie vorstehend erwähnt, ist die Behörde verpflichtet, sich mit den wesentlichen Vorbringen des Rechtssuchenden zu befassen. Dies bedeutet umgekehrt, dass sie sich mit unwesentlichen tatbeständlichen Behauptungen nicht auseinandersetzen muss. Das SEM hat den Umstand, dass der Beschwerdeführer Syrien illegal verlassen hat, aufgrund der gesamten Aktenlage und insbesondere mangels gegenteiliger Angaben desselben offenbar für nicht flüchtlingsrelevant erachtet und war folglich nicht veranlasst, sich mit dieser in tatbestandsmässiger und rechtlicher Hinsicht auseinanderzusetzen. Die illegale Ausreise führt nur unter bestimmten, klar definierten Voraussetzungen zur Anerkennung der Flüchtlingseigenschaft und aus den Akten ergeben sich - wie nachfolgend aufgezeigt - keine Hinweise, dass diese in casu vorliegen könnten. Ob diese Einschätzung zutreffend ist, ist nicht unter dem Aspekt der Gehörsverletzung zu prüfen, sondern bildet Gegenstand der nachfolgenden Erwägungen. Der Rückweisungsantrag ist abzuweisen.</w:t>
      </w:r>
    </w:p>
    <w:p>
      <w:r>
        <w:rPr>
          <w:b/>
        </w:rPr>
        <w:t>E. 7</w:t>
      </w:r>
    </w:p>
    <w:p>
      <w:r>
        <w:t>Nachfolgend ist zu prüfen, ob der Beschwerdeführer wegen der illegalen Ausreise bei einer Wiedereinreise nach Syrien in flüchtlingsrechtlich relevanter Weise gefährdet wäre.</w:t>
      </w:r>
    </w:p>
    <w:p>
      <w:r>
        <w:rPr>
          <w:b/>
        </w:rPr>
        <w:t>E. 7.1</w:t>
      </w:r>
    </w:p>
    <w:p>
      <w:r>
        <w:t>Wer sich darauf beruft, dass durch sein Verhalten nach der Ausreise aus dem Heimat- oder Herkunftsstaat eine Gefährdungssituation erst geschaffen worden ist, macht subjektive Nachfluchtgründe im Sinne von Art. 54 AsylG geltend (vgl. dazu bereits vorstehend E. 4.3). Begründeter Anlass zur Furcht vor zukünftiger Verfolgung besteht dann, wenn der Heimat- oder Herkunftsstaat mit erheblicher Wahrscheinlichkeit vom in Frage stehenden Verhalten - vorliegend von der illegalen Ausreise - der beschwerdeführenden Person erfahren hat und diese deshalb bei einer Rückkehr in flüchtlingsrechtlich relevanter Weise verfolgt würde. Dabei muss hinreichender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Benachteiligungen als wahrscheinlich und dementsprechend die Furcht davor als realistisch und nachvollziehbar erscheinen lassen (vgl. dazu BVGE 2009/28 E. 7.1, 2009/29 E. 5.1, 2010/44 E. 3.4, 2010/57 E. 2.5, 2011/51 E. 6.2 sowie das Referenzurteil D-3839/2013 des Bundesverwaltungsgerichts vom 28. Oktober 2015, E. 6.2.1, mit weiteren Hinweisen). Eine (drohende) strafrechtliche Verfolgung wegen eines unter Strafe stehenden Verhaltens ist vom Ausgeführten nicht erfasst, sofern diese nicht politisch motiviert ist ("polit malus").</w:t>
      </w:r>
    </w:p>
    <w:p>
      <w:r>
        <w:rPr>
          <w:b/>
        </w:rPr>
        <w:t>E. 7.2</w:t>
      </w:r>
    </w:p>
    <w:p>
      <w:r>
        <w:t>Die blosse Tatsache der illegalen Ausreise vermag nicht zur Annahme zu führen, dass der Beschwerdeführer bei einer (hypothetischen) Rückkehr nach Syrien mit beachtlicher Wahrscheinlichkeit einer menschenrechtswidrigen Behandlung ausgesetzt wäre. Zwar kann aufgrund seiner Landesabwesenheit nicht ausgeschlossen werden, dass er bei der Wiedereinreise in seine Heimat einer Befragung durch die syrischen Behörden unterzogen würde. Da nach seinen eigenen Angaben keine Vorverfolgung vorliegt und sich auch gestützt auf die Aktenlage keine gegenteilige Annahme ergibt, kann mit an Sicherheit grenzender Wahrscheinlichkeit ausgeschlossen werden, dass er vor dem Verlassen Syriens als regimefeindliche Person im Fokus der syrischen Behörden gestanden hat. Somit ist auch nicht davon auszugehen, dass diese ihn als staatsgefährdend einstufen würden, weshalb nicht damit zu rechnen wäre, er hätte bei einer (hypothetischen) Rückkehr asylrelevante Massnahmen zu befürchten (vgl. Urteil des BVGer vom 28. März 2014, E. 8.7).</w:t>
      </w:r>
    </w:p>
    <w:p>
      <w:r>
        <w:rPr>
          <w:b/>
        </w:rPr>
        <w:t>E. 7.3</w:t>
      </w:r>
    </w:p>
    <w:p>
      <w:r>
        <w:t>Nach dem Ausgeführten bleibt festzuhalten, dass keine subjektiven Nachfluchtgründe vorliegen. Der Beschwerdeführer erfüllt die Flüchtlingseigenschaft nicht.</w:t>
      </w:r>
    </w:p>
    <w:p>
      <w:r>
        <w:rPr>
          <w:b/>
        </w:rPr>
        <w:t>E. 7.4</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7.5</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7.6</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w:t>
      </w:r>
    </w:p>
    <w:p>
      <w:r>
        <w:t>Da die Vorinstanz in ihrer Verfügung vom 23. Januar 2016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auf insgesamt Fr. 600. - festzusetzen und dem am 19. Januar 2017 in selber Höhe geleisteten Kostenvorschuss zu entnehmen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