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D-8007/2008 vom 16. Februar 2009</w:t>
      </w:r>
    </w:p>
    <w:p>
      <w:r>
        <w:t>Bundesverwaltungsgericht, 2009-02-16, DE</w:t>
      </w:r>
    </w:p>
    <w:p>
      <w:r>
        <w:rPr>
          <w:b/>
        </w:rPr>
        <w:t xml:space="preserve">Quelle: </w:t>
      </w:r>
      <w:r>
        <w:t>https://mcp.opencaselaw.ch/entscheid/bvger_D-8007_2008</w:t>
      </w:r>
    </w:p>
    <w:p>
      <w:r>
        <w:t>FR: TAF D-8007/2008 du 16 février 2009</w:t>
      </w:r>
    </w:p>
    <w:p>
      <w:r>
        <w:t>IT: TAF D-8007/2008 del 16 febbraio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des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w:t>
      </w:r>
    </w:p>
    <w:p>
      <w:r>
        <w:t>Nachdem die Vorinstanz den Anspruch der Beschwerdeführer auf Behandlung ihres Wiedererwägungsgesuchs nicht in Abrede gestellt hat und darauf eingetreten ist, hat das Bundesverwaltungsgericht zu prüfen, ob das BFM das Gesuch zu Recht abgewiesen hat. Für die Beurteilung der Frage eines allfälligen Vollzugs der Wegweisung beziehungsweise der Anordnung der vorläufigen Aufnahme ist praxisgemäss der sich präsentierende Sachverhalt im Urteilszeitpunkt massgebend.</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Beschwerdeführer machen vorliegend insbesondere geltend, aufgrund einer wesentlich veränderten Sachlage sei der Vollzug der Wegweisung nach Serbien nicht mehr zumutbar.</w:t>
      </w:r>
    </w:p>
    <w:p>
      <w:r>
        <w:rPr>
          <w:b/>
        </w:rPr>
        <w:t>E. 7.2</w:t>
      </w:r>
    </w:p>
    <w:p>
      <w:r>
        <w:t>Der Vater (bei Wahrunterstellung der Vaterschaft) der drei Kinder, ein serbischer Staatsangehöriger, könnte durch die Heirat (bei Wahrunterstellung der Heirat) mit einer in der Schweiz lebenden Österreicherin (sie ist im Besitz einer Jahresaufenthaltsbewilligung) eine Aufenthaltsbewilligung in der Schweiz beantragen. Ob sich dann daraus eine Aufenthaltsbewilligung für die Kinder ableiten liesse - mit der Mutter besteht keine Lebensgemeinschaft mehr - ist hier nicht zu prüfen, denn die Prüfung, ob nach rechtskräftigem Abschluss des Asylverfahrens ein Anspruch auf einen fremdenpolizeilichen Aufenthaltstitel besteht, ist den zuständigen fremdenpolizeilichen Behörden vorbehalten. Wird dann dem abgewiesenen Asylgesuchsteller von diesen Behörden ein Aufenthaltstitel zuerkannt, so fallen die Anordnungen des BFF beziehungsweise BFM betreffend Wegweisung und Vollzug der Wegweisung ohne weiteres dahin; die nach Abschluss des Asylverfahrens allfällig erfolgte Heirat des Kindsvaters mit einer Jahresaufenthalterin bildet somit keinen Grund, die rechtskräftige Wegweisung in Wiedererwägung zu ziehen (vgl. EMARK 2000 Nr. 30 S. 248).</w:t>
      </w:r>
    </w:p>
    <w:p>
      <w:r>
        <w:rPr>
          <w:b/>
        </w:rPr>
        <w:t>E. 7.3</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ausländischen Personen,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7.4</w:t>
      </w:r>
    </w:p>
    <w:p>
      <w:r>
        <w:t>Die Vorbringen der Beschwerdeführer entbehren jeglicher wiedererwägungsrechtlicher Relevanz. Im Bereich Sozialhilfe existieren in Serbien mehr als 20 Sozialhilfe-Programme für verletzliche Bevölkerungsgruppen oder solche mit erheblichem Armutsrisiko, unter anderem auch für "single parents" (alleinerziehende Eltern). Dieser soziale Schutz der entsprechenden Bevölkerungsschichten ist auf Verfassungsebene verankert. Die Beschwerdeführerin hat die Möglichkeit sowohl einen Antrag auf Sozialhilfe zu stellen als auch Kinderzulagen zu beantragen, sollte sie über kein Erwerbseinkommen verfügen. Die Beschwerdeführer reisten zum zweiten Mal 2006 in die Schweiz ein. Keines der Kinder wurde in der Schweiz geboren und durchlief hier eine ununterbrochene Schullaufbahn, weshalb kein gewichtiges Indiz für einen Entwurzelungsprozess vorliegt, der im Rahmen des Kindeswohls zu berücksichtigen wäre. Entgegen den Vorbringen, sie habe keinen Beruf erlernt und sei immer als Hausfrau tätig gewesen, verfügt die Beschwerdeführerin über eine solide Grundschulausbildung (8 Schuljahre) und absolvierte anschliessend eine dreijährige Verkaufsausbildung. In ihrer Heimat betrieb sie einen Getränkeladen und sammelte Berufserfahrung (vgl. A13, S. 3 f.). Unter diesen Umständen kann ihr nicht geglaubt werden, sie verfüge in ihrem Heimatland über kein soziales Netz mehr und werde dort diskriminiert. Einem Vollzug der Wegweisung stehen somit keine Hindernisse entgegen, weder aus der gegenwärtigen Aktenlage noch betreffend die allgemeine Lage in Serbien.</w:t>
      </w:r>
    </w:p>
    <w:p>
      <w:r>
        <w:rPr>
          <w:b/>
        </w:rPr>
        <w:t>E. 8</w:t>
      </w:r>
    </w:p>
    <w:p>
      <w:r>
        <w:t>In Bezug auf die Zulässigkeit und Möglichkeit des Wegweisungsvollzugs wurde im Wiedererwägungsverfahren keine veränderte Sachlage geltend gemacht, weshalb diesbezüglich auf die Erwägungen der Verfügung vom 28. Juli 2006 verwiesen werden kann.</w:t>
      </w:r>
    </w:p>
    <w:p>
      <w:r>
        <w:rPr>
          <w:b/>
        </w:rPr>
        <w:t>E. 9</w:t>
      </w:r>
    </w:p>
    <w:p>
      <w:r>
        <w:t>Zusammenfassend ist festzustellen, dass es den Beschwerdeführern nicht gelungen ist, eine wiedererwägungsrechtlich relevante Veränderung der Sachlage darzulegen, welche es rechtfertigen würde, die rechtskräftige vorinstanzliche Verfügung vom 28. Juli 2006 aufzuheben. Das mit Eingabe vom 12. Januar 2009 gestellte Gesuch um Sistierung von Vollzugsmassnahmen fällt als gegenstandslos dahin.</w:t>
      </w:r>
    </w:p>
    <w:p>
      <w:r>
        <w:rPr>
          <w:b/>
        </w:rPr>
        <w:t>E. 10</w:t>
      </w:r>
    </w:p>
    <w:p>
      <w:r>
        <w:t>Aus diesen Erwägungen ergibt sich, dass die angefochtene Verfügung Bundesrecht nicht verletzt, den rechtserheblichen Sachverhalt richtig und vollständig feststellt und angemessen ist (Art. 106 AsylG). An dieser Einschätzung vermögen auch die weiteren Vorbringen in der Beschwerde nichts zu ändern, weshalb es sich erübrigt, darauf im Einzelnen einzugehen. Die Vorinstanz hat das Wiedererwägungsgesuch demnach zu Recht abgewiesen. Folglich ist auch die Beschwerde abzuweisen.</w:t>
      </w:r>
    </w:p>
    <w:p>
      <w:r>
        <w:rPr>
          <w:b/>
        </w:rPr>
        <w:t>E. 11</w:t>
      </w:r>
    </w:p>
    <w:p>
      <w:r>
        <w:t>Bei diesem Ausgang des Verfahrens sind die Kosten den Beschwerdeführern aufzuerlegen (Art. 63 Abs. 1 VwVG) und auf insgesamt Fr. 1'200.-- festzusetzen (Art. 1-3 des Reglements über die Kosten und Entschädigungen vor dem Bundesverwaltungsgericht vom 21. Februar 2008 [VGKE]) und mit dem am 7. Januar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