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D-799/2009 vom 13. Oktober 2011</w:t>
      </w:r>
    </w:p>
    <w:p>
      <w:r>
        <w:t>Bundesverwaltungsgericht, 2011-10-13, DE</w:t>
      </w:r>
    </w:p>
    <w:p>
      <w:r>
        <w:rPr>
          <w:b/>
        </w:rPr>
        <w:t xml:space="preserve">Quelle: </w:t>
      </w:r>
      <w:r>
        <w:t>https://mcp.opencaselaw.ch/entscheid/bvger_D-799_2009</w:t>
      </w:r>
    </w:p>
    <w:p>
      <w:r>
        <w:t>FR: TAF D-799/2009 du 13 octobre 2011</w:t>
      </w:r>
    </w:p>
    <w:p>
      <w:r>
        <w:t>IT: TAF D-799/2009 del 13 ottobre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Das Bundesverwaltungsgericht entscheidet demnach endgültig.</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Bundesamt begründete seine Verfügung vom 7. Januar 2009 im Wesentlichen damit, dass es zwischen der geltend gemachten Festnahme in Panjshir und der Ausreise sowohl am zeitlichen als auch am sachlichen Kausalzusammenhang fehle, zumal dazwischen fünf Jahre vergangen seien. Soweit der Beschwerdeführer geltend mache, sein Bruder habe aufgrund einer privaten Angelegenheit eine andere Person verletzt, handle es sich um ein Problem mit einem privaten Dritten. Der Beschwer­deführer könne sich diesbezüglich an die Behörden seines ursprünglichen Wohnorts Kabul wenden, zumal keine Hinweise auf eine allfällige Schutzverweigerung vorlägen. Die Vorbringen seien daher als nicht asylrelevant zu qualifizieren, weshalb auf die bestehenden Unglaubhaftigkeitselemente nicht eingegangen werde. Folglich genügten die geltend gemachten Ereignisse den Anforderungen an die Flüchtlingseigenschaft gemäss Art. 3 AsylG nicht, weshalb das Asylgesuch abzulehnen sei.</w:t>
      </w:r>
    </w:p>
    <w:p>
      <w:r>
        <w:rPr>
          <w:b/>
        </w:rPr>
        <w:t>E. 2.4</w:t>
      </w:r>
    </w:p>
    <w:p>
      <w:r>
        <w:t>Eine erlittene Verfolgung beziehungsweise die begründete Furcht vor künftiger Verfolgung muss sachlich und zeitlich kausal für die Ausreise aus dem Heimat- oder Herkunftsstaat sein (vgl. BVGE 2008 Nr. 12 E. 5.2 S. 154 f.; BVGE 2008/4 E. 5.4 S. 38 f.; BVGE 2007 Nr. 31 E. 5.2 S. 379; ebenfalls in diesem Sinne Entscheidungen und Mitteilungen der Schweizerischen Asylrekurskommission [EMARK] 2006 Nr. 32 E. 5 S. 339 f.). Nachfolgend ist daher zu prüfen, ob die geltend gemachte Verfolgungssituation im Zeitpunkt der Ausreise des Beschwerdeführers noch aktuell war. Eine längere Zeitspanne zwischen erlebter Verfolgung und der erst späteren Ausreise aus dem Heimatland ist einerseits im Hinblick auf die Prüfung der Glaubhaftigkeit der geltend gemachten Ausreisegründe, andererseits auf die Beurteilung des Vorliegens der begründeten Verfolgungsfurcht im Zeitpunkt der Ausreise relevant (vgl. EMARK 1996 Nr. 25). Anlässlich der summarischen Befragung vom 27. Juli 2007 machte der Beschwerdeführer diesbezüglich geltend, von seiner Tante 150'000 Afghani für die Ausreise erhalten zu haben. Das Geld habe indessen nicht für die Reise bis C._______ gereicht, weshalb er in K._______ geblieben sei und dort während fünf Jahren gearbeitet und für die Ausreise gespart habe (vgl. A 1/10 S. 5). Er sei in der Hoffnung auf eine Verbesserung der Sicherheitslage in Afghanistan - und der damit einhergehenden Möglichkeit einer Rückkehr nach Kabul - im Lande geblieben (vgl. A 1/10 S. 7). In K._______ habe er aber in ständiger Angst gelebt, von Familienangehörigen des getöteten Mannes aufgesucht zu werden und sei demnach, nachdem sich die Sicherheitslage in Afghanistan nicht verändert habe, im Jahr 2006 C._______ ausgereist (vgl. A 1/10 S. 5 und 7). Im Rahmen der direkten Anhörung vom 25. Oktober 2007 führte der Beschwerdeführer ergänzend aus, in K._______, wo er dreieinhalb bis vier Jahre gearbeitet habe (vgl. A 15/18 S. 14 f.), anfangs nicht in Gefahr gewesen zu sein. Zudem sei die Lage afghanischer Flüchtlinge C._______ auch nicht sonderlich sicher gewesen (vgl. A 15/18 S. 15). Er sei erst nach dem Beginn der Ausschaffung afghanischer Staatsangehöriger durch die C._______ Behörden im Jahr 2006 aus Afghanistan ausgereist, zumal er befürchtet habe, die rückkehrenden Afghanen könnten seinen Aufenthaltsort verraten (vgl. A 15/18 S. 14). Die Vorinstanz verneinte in der angefochtenen Verfügung zutreffend den nach weiterhin geltender Praxis (vgl. EMARK 2000 Nr. 2 E. 8c S. 21; EMARK 2003 Nr. 8 E. 7 S. 54) in zeitlicher und sachlicher Hinsicht erforderlichen Kausalzusammenhang zwischen den geltend gemachten Ereignissen und der Ausreise. Gemäss Angaben des Beschwerdeführers fanden die Festnahme in Panjshir und die Probleme im Zusammenhang mit dem Streit seines Bruders nach dem Sturz der Taliban im Jahre 2001 statt (vgl. A 1/10 S. 5 und 6; A 15/18 S. 5); die Ausreise sei Mitte 2006 erfolgt (vgl. A 1/10 S. 2 und 7). Demnach liegt zwischen den geltend gemachten Ereignissen und der Ausreise eine Zeitspanne von fünf Jahren, womit der zeitliche Kausalzusammenhang offenkundig nicht mehr gegeben ist (vgl. Samuel Werenfels, Der Begriff des Flüchtlings im schweizerischen Asylrecht, Bern u. a. 1987, S. 295; Walter Kälin, Grundriss des Asylverfahrens, Basel und Frankfurt am Main 1990, S. 128; Alberto Achermann/Christina Hausammann, Handbuch des Asylrechts, 2. Aufl., Bern/Stuttgart 1991, S. 107; Mario Gattiker, Das Asyl- und Wegweisungsverfahren, 3. Aufl., Bern 1999, S. 76; EMARK 1998 Nr. 20 E. 7 S. 179 f.; EMARK 2000 Nr. 17 E. 11.a S. 157 f.; EMARK 1999 Nr. 7 E. 4b S. 46). Der Beschwerdeführer gab an, während seiner Zeit in K._______ ein verstecktes Leben geführt zu haben. So habe er im selben Hotel gewohnt, in dem er auch gearbeitet habe, und sei nie auf die Strasse gegangen. Als Fremder sei man in der gefährlichen Ortschaft stets Gefahr gelaufen, Opfer eines Überfalls zu werden (vgl. A 15/18 S. 15). Demnach führte der Beschwerdeführer nicht aus Furcht vor Verfolgung ein zurückgezogenes Leben, sondern beruhend auf von den Gesuchsgründen unabhängigen Umständen. Die Begründung für die Ausreise im Jahr 2006, wonach er erst zu diesem Zeitpunkt genügend Geld beisammen gehabt habe und die aus C._______ zurückkehrenden Afghanen fürchtete, erklärt den zeitlichen Abstand zwischen den geltend gemachten Ereignissen und der Ausreise nicht. Es sind daher weder plausible objektive noch subjektive Gründe ersichtlich, die eine frühere Ausreise verhindert haben. An dieser Einschätzung vermögen auch die Ausführungen des Beschwer­deführers in seiner Rechtsmitteleingabe nichts zu ändern. So macht er geltend, es bestehe trotz der zeitlichen Distanz ein Zusammenhang zwischen den Ereignissen in Panjshir und Kabul und der Ausreise. Es sei ihm nicht vorwerfbar, dass er sich zuerst in Afghanistan um eine Fluchtalternative bemüht habe. Erst als ein Mitglied der Familie des verstorbenen Mannes im Hotel in K._______ aufgetaucht sei, habe er sich zur Ausreise gezwungen gesehen. Diese Ausführungen sind als nachgeschoben und daher als unglaubhaft zu qualifizieren, da der Beschwerdeführer anlässlich der beiden Befragungen solche Aufsuchungen unerwähnt liess. Er brachte damals lediglich vor, in ständiger Angst vor einer Aufsuchung durch einen Familienangehörigen des Verstorbenen gelebt zu haben (vgl. A 1/10 S. 5). Angesichts der zentralen Bedeutung hätte der Beschwerdeführer dieses Vorbringen aber zwingend schon im Rahmen des erstinstanzlichen Verfahrens geltend machen müssen. Der Einwand, wonach er anlässlich der beiden Befragungen nicht nach dem Grund für die späte Ausreise gefragt worden sei, vermag mit Blick auf die Mitwirkungspflicht des Beschwerdeführers (Art. 8 AsylG) nicht zu überzeugen. Der Einwand ist auch aktenwidrig, wurde der Beschwerdeführer doch anlässlich der Kurzbefragung und der Anhörung gefragt, weshalb er solange in K._______ geblieben sei (vgl. A 1/10 S. 7) beziehungsweise weshalb er lediglich nach K._______ gegangen und nicht sofort ausgereist sei (vgl. A 15/18 S. 14 unten). Er hätte in diesem Zusammenhang Gelegenheit gehabt, auf das Auftauchen eines Familienangehörigen des angeblich von seinem Bruder verletzten beziehungsweise getöteten Mannes hinzuweisen. Folglich sind keine plausiblen Gründe für die erst nach Jahren erfolgte Ausreise ersichtlich, weshalb sowohl der zeitliche als auch der sachliche Kausalzusammenhang zwischen den Problemen des Beschwerdeführers und dessen Ausreise fehlt. Da es - wie soeben aufgezeigt - im vorliegenden Fall am erforderlichen Kausalzusammenhang fehlt, kann darauf verzichtet werden, im Asylpunkt auf das Argument der Vorinstanz, wonach die Behörden in Kabul bei einer Rückkehr der Beschwerdeführers in der Lage sein würden, diesen vor Übergriffen durch private Dritte zu schützen, einzugehen. Aus dem gleichen Grund sind die mit Eingabe vom 2. Juni 2009 beim BFM eingereichten Dokumente nicht weiter zu berücksichtigen. Lediglich als Hinweis ist anzuführen, dass der Beschwerdeführer nicht darlegt, wie er in den Besitz dieser Beweismittel - insbesondere eines (gemäss Übersetzung) undatierten Schreibens der Sicherheitskommandantur der Provinz Panjshir - gelangte, machte er doch zu Beginn der Anhörung erhebliche Schwierigkeiten geltend, Ausweise oder sonstige Dokumente zu beschaffen (vgl. A 15/18 S. 2). Auffällig ist zudem, dass im erwähnten Schreiben lediglich beim Namen des Beschwerdeführers, gegen den wie auch gegen seine Brüder ein Haftbefehl erlassen worden sei, ein Geburtsdatum steht, nicht jedoch bei den Namen seiner Brüder. Eine Rückweisung der Sache an die Vorinstanz zur Neubeurteilung rechtfertigt sich in Anbetracht der Sachlage nicht, weshalb dieser Antrag, der auch nicht näher begründet wurde, abzuweisen ist.</w:t>
      </w:r>
    </w:p>
    <w:p>
      <w:r>
        <w:rPr>
          <w:b/>
        </w:rPr>
        <w:t>E. 2.5</w:t>
      </w:r>
    </w:p>
    <w:p>
      <w:r>
        <w:t>Aufgrund der vorstehenden Erwägungen erübrigt es sich, auf die weiteren Ausführungen in der Beschwerde und die eingereichten Beweismittel einzugehen, weil sie am Ergebnis nichts ändern. Zusammenfassend ist festzustellen, dass die Asylvorbringen des Beschwerdeführers den Anforderungen an die Asylrelevanz im Sinne von Art. 3 AsylG nicht zu genügen vermögen, weshalb auf eine Überprüfung des Glaubhaftigkeit der Asylvorbringen im Sinne von Art. 7 AsylG verzichtet werden kann. Das BFM hat das Asylgesuch des Beschwerdeführers demnach zu Recht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Der Beschwerdeführer verfügt weder über eine ausländerrechtliche Aufenthaltsbewilligung noch über einen Anspruch auf Erteilung einer solchen. Die Wegweisung wurde demnach zu Recht angeordnet (Art. 44 Abs. 1 AsylG; vgl. BVGE 2009/50 E. 9; BVGE 2008/34 E. 9.2).</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4.3</w:t>
      </w:r>
    </w:p>
    <w:p>
      <w:r>
        <w:t>Weil sich vorliegend der Vollzug der Wegweisung - aus den nachfolgend aufgezeigten Gründen - als unzumutbar erweist, ist auf eine Erörterung der beiden andern Kriterien zu verzichten.</w:t>
      </w:r>
    </w:p>
    <w:p>
      <w:r>
        <w:rPr>
          <w:b/>
        </w:rPr>
        <w:t>E. 4.4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4.4.1</w:t>
      </w:r>
    </w:p>
    <w:p>
      <w:r>
        <w:t>In Bezug auf die allgemeine Lage in Afghanistan kann auf die vom Bundesverwaltungsgericht vorgenommene Einschätzung der Lage in einem vor kurzem ergangenen, zur Publikation vorgesehenen Grundsatzurteil verwiesen werden (vgl. Urteil des BundesverwaltungsgerichtsE-7625/2008 vom 16. Juni 2011).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4.4.2</w:t>
      </w:r>
    </w:p>
    <w:p>
      <w:r>
        <w:t>Der Beschwerdeführer wuchs eigenen Angaben zufolge bis zu seinem zehnten Lebensjahr im Dorf J._______ (Provinz Panjshir) auf und wohnte danach während ungefähr vier Jahren in Kabul. Gemäss der soeben dargelegten Rechtsprechung des Bundesverwaltungsgerichts wird ein Wegweisungsvollzug in die Provinz Panjshir nicht in Betracht gezogen. Hingegen geht das Bundesverwaltungsgericht im zitierten Urteil nicht von einer generellen Unzumutbarkeit des Wegweisungsvollzugs nach Kabul aus.</w:t>
      </w:r>
    </w:p>
    <w:p>
      <w:r>
        <w:rPr>
          <w:b/>
        </w:rPr>
        <w:t>E. 4.4.3</w:t>
      </w:r>
    </w:p>
    <w:p>
      <w:r>
        <w:t>Bei dieser Sachlage stellt sich die Frage, ob dem Beschwerdeführer eine Rückkehr nach Kabul aufgrund einer individuellen Prüfung der Verhältnisse zuzumuten ist. Die Bejahung der Zumutbarkeit einer Rückkehr nach Kabul setzt insbesondere die Existenz eines tragfähigen Beziehungsnetzes, die konkrete Möglichkeit der Sicherung des Existenzminimums sowie eine gesicherte Wohnsituation voraus (vgl. das zur Publikation vorgesehene Grundsatzurteil des Bundesverwaltungsgerichts E 7625/2008 vom 16. Juni 2011 E. 9.9.2 mit Verweis auf EMARK 2003 Nr. 10 E. 10 cc).</w:t>
      </w:r>
    </w:p>
    <w:p>
      <w:r>
        <w:rPr>
          <w:b/>
        </w:rPr>
        <w:t>E. 4.4.4</w:t>
      </w:r>
    </w:p>
    <w:p>
      <w:r>
        <w:t>Anlässlich der Befragungen machte der Beschwerdeführer geltend, ursprünglich aus der Provinz Panjshir zu stammen und im Alter von ungefähr zehn Jahren mit seiner Familie infolge Machtübernahme durch die Taliban nach Kabul gegangen zu sein. Vier Jahre später sei er nach einem kurzen Aufenthalt im Heimatdorf in Panjshir aufgrund der geltend gemachten Ereignisse nach K._______ gegangen, wo er sich während mehrerer Jahre aufgehalten habe. Seine Eltern seien bereits während der Zeit in Kabul eines natürlichen Todes verstorben. In Kabul lebten einige Onkel und Cousins, sowie drei Schwestern des Beschwerdeführers, zu welchen er aber seit seiner Weiterreise nach K._______ keinen Kontakt mehr unterhalte. Er sei während ungefähr eines Jahres zur Schule gegangen, habe in K._______ mehrere Jahre in einem Hotel und C._______ während einiger Monate als Schweisser gearbeitet.</w:t>
      </w:r>
    </w:p>
    <w:p>
      <w:r>
        <w:rPr>
          <w:b/>
        </w:rPr>
        <w:t>E. 4.4.5</w:t>
      </w:r>
    </w:p>
    <w:p>
      <w:r>
        <w:t>Das BFM führte aus, weder die allgemeine noch die individuelle Situation des Beschwerdeführers spreche gegen die Zumutbarkeit des Wegweisungsvollzugs. Insbesondere würden mehrere Verwandte des Beschwerdeführers in Kabul leben, sodass er dort über ein familiäres Beziehungsnetz und den entsprechenden Wohnraum verfüge. Zudem würden es ihm seine beruflichen Erfahrungen in der Hotelbranche in K._______ und als Schweisser C._______ ermöglichen, sich in Afghanistan eine Lebensgrundlage aufzubauen.</w:t>
      </w:r>
    </w:p>
    <w:p>
      <w:r>
        <w:rPr>
          <w:b/>
        </w:rPr>
        <w:t>E. 4.4.6</w:t>
      </w:r>
    </w:p>
    <w:p>
      <w:r>
        <w:t>Diesen Erwägungen entgegnet der Beschwerdeführer in seiner Rechtsmitteleingabe, er lebe seit dem Jahr 2001 nicht mehr in Kabul und könne dort - ungeachtet der Gefahr durch die ihm drohende Blutrache - nicht auf ein familiäres Netz zurückgreifen. Es sei ihm nicht bekannt, ob die Onkel noch in Kabul lebten, zumal der Kontakt seit Jahren abgebrochen sei. Ausserdem habe er zu seinen Onkel nie eine enge Beziehung gepflegt, weshalb er sich bei einer Rückkehr nicht auf deren Hilfe verlassen könne. Er wisse auch nicht, ob seine Cousins mittlerweile noch in Kabul seien. Abgesehen davon habe sich die Sicherheitslage in Kabul stark verschlechtert, weshalb viele Personen ins Ausland geflohen seien. Ferner wolle er auf seine gute Integration in der Schweiz hinweisen, was mit der ins Recht gelegten Bestätigung seines Beschäftigungsverhältnisses vom 14. Januar 2009 belegt werde.</w:t>
      </w:r>
    </w:p>
    <w:p>
      <w:r>
        <w:rPr>
          <w:b/>
        </w:rPr>
        <w:t>E. 4.4.7</w:t>
      </w:r>
    </w:p>
    <w:p>
      <w:r>
        <w:t>Vorweg ist zu bemerken, dass das Vorbringen des Beschwerdeführers, wonach er in der Schweiz gut integriert sei, nicht entscheidwesentlich ist, da es bei der Frage nach der Zumutbarkeit des Wegweisungsvollzugs praxisgemäss nicht um die Beurteilung der Situation der Asylsuchenden in der Schweiz, sondern der Situation im Heimatland geht (vgl. EMARK 1994 Nr. 19 E. 6.a S. 148 mit weiteren Hinweisen). Entgegen der Auffassung der Vorinstanz verfügt der Beschwerdeführer in Afghanistan jedoch über kein tragfähiges soziales Netz. Zwar trifft es zu, dass er während einiger Jahre in Kabul lebte, jedoch stammt er ursprünglich aus der Provinz Panjshir und verbrachte lediglich vier beziehungsweise fünf Jahre seines Lebens in Kabul. Während dieser Zeit in Kabul lebte er mit seiner Familie zusammen, wobei seine Eltern mittlerweile verstorben und seine Brüder ins Ausland geflüchtet seien. Zu den andern damals in Kabul wohnhaften Verwandten habe er seit Jahren keinen Kontakt mehr und teilweise kein gutes Verhältnis. Zwar bestehen in Anbetracht der Tatsache, dass er sich im Jahr 2009 verschiedene Dokumente (darunter sein Identitätsausweis) aus seinem Heimatland schicken liess, Zweifel an der Aussage des Beschwerdeführers, wonach er keinen Kontakt zu Angehörigen in Afghanistan mehr habe. Indessen liegen keine konkreten Anhaltspunkte dafür vor, dass er in Kabul über ein soziales Netz verfügt, auf dessen Unterstützung er zählen könnte. Gleichzeitig ist davon auszugehen, dass der Beschwerdeführer mit Blick auf die fehlende Schul- und Berufsbildung sowie unter Berücksichtigung der schwierigen Arbeitsmarktsituation in Kabul wohl Mühe haben dürfte, innert angemessener Frist eine Anstellung zu finden, mit welcher er sich seinen Lebensunterhalt selbstständig verdienen könnte. An dieser Einschätzung ändert auch die Tatsache, wonach er in K._______ während mehrerer Jahre in einem Hotel und C._______ als Schweisser arbeitete und in der Schweiz erwerbstätig ist, nichts. Zudem reiste er eigenen Angaben zufolge vor mittlerweile fast zehn Jahren aus Afghanistan aus, was eine Reintegration im Heimatstaat zusätzlich erschweren dürfte. Daher läuft der Beschwerdeführer mit beachtlicher Wahrscheinlichkeit bei einer Rückkehr nach Kabul Gefahr, in eine existenzielle Notlage zu geraten.</w:t>
      </w:r>
    </w:p>
    <w:p>
      <w:r>
        <w:rPr>
          <w:b/>
        </w:rPr>
        <w:t>E. 4.5</w:t>
      </w:r>
    </w:p>
    <w:p>
      <w:r>
        <w:t>Zusammenfassend ist angesichts der gesamten Umstände festzustellen, dass der Vollzug der Wegweisung des Beschwerdeführers nach Afghanistan zum heutigen Zeitpunkt mit überwiegender Wahrscheinlichkeit eine konkrete Gefährdung zur Folge hätte und deshalb als unzumutbar im Sinne von Art. 83 Abs. 4 AuG zu qualifizieren ist.</w:t>
      </w:r>
    </w:p>
    <w:p>
      <w:r>
        <w:rPr>
          <w:b/>
        </w:rPr>
        <w:t>E. 5</w:t>
      </w:r>
    </w:p>
    <w:p>
      <w:r>
        <w:t>Die Beschwerde ist demnach gutzuheissen, soweit sie den Vollzug der Wegweisung betrifft; im Übrigen ist sie abzuweisen. Die Verfügung des BFM vom 20. August 2008 ist hinsichtlich der Ziffern 4 und 5 des Dispositivs aufzuheben und das Bundesamt ist anzuweisen, den Beschwerdeführer in der Schweiz vorläufig aufzunehmen.</w:t>
      </w:r>
    </w:p>
    <w:p>
      <w:r>
        <w:rPr>
          <w:b/>
        </w:rPr>
        <w:t>E. 6.1</w:t>
      </w:r>
    </w:p>
    <w:p>
      <w:r>
        <w:t>Bei diesem Ausgang des Verfahrens - das Bundesverwaltungsgericht geht bei der vorliegenden Konstellation von einem hälftigen Durchdringen aus - sind die reduzierten Verfahrenskosten von Fr. 300.- dem Beschwerdeführer aufzuerlegen (vgl. Art. 63 Abs. 1 VwVG). Die Verfahrenskosten sind mit dem am 1. April 2009 geleisteten Kostenvorschuss von Fr. 600.- zu verrechnen und der Saldobetrag von Fr. 300.- ist dem Beschwerdeführer zurückzuerstatten.</w:t>
      </w:r>
    </w:p>
    <w:p>
      <w:r>
        <w:rPr>
          <w:b/>
        </w:rPr>
        <w:t>E. 6.2</w:t>
      </w:r>
    </w:p>
    <w:p>
      <w:r>
        <w:t>Dem Beschwerdeführer sind aufgrund der selbstständigen Beschwerdeführung - soweit aus den Akten ersichtlich - keine notwendigen und verhältnismässig hohen Parteikosten im Sinne von Art. 64 Abs. 1 VwVG erwachsen,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