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D-7999/2015 vom 4. März 2016</w:t>
      </w:r>
    </w:p>
    <w:p>
      <w:r>
        <w:t>Bundesverwaltungsgericht, 2016-03-04, DE</w:t>
      </w:r>
    </w:p>
    <w:p>
      <w:r>
        <w:rPr>
          <w:b/>
        </w:rPr>
        <w:t xml:space="preserve">Quelle: </w:t>
      </w:r>
      <w:r>
        <w:t>https://mcp.opencaselaw.ch/entscheid/bvger_D-7999_2015</w:t>
      </w:r>
    </w:p>
    <w:p>
      <w:r>
        <w:t>FR: TAF D-7999/2015 du 4 mars 2016</w:t>
      </w:r>
    </w:p>
    <w:p>
      <w:r>
        <w:t>IT: TAF D-7999/2015 del 4 marzo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Abs. 1 und 52 Abs. 1 VwVG).</w:t>
      </w:r>
    </w:p>
    <w:p>
      <w:r>
        <w:rPr>
          <w:b/>
        </w:rPr>
        <w:t>E. 2</w:t>
      </w:r>
    </w:p>
    <w:p>
      <w:r>
        <w:t>Das Bundesverwaltungsgericht überprüft die vorliegend angefochtene Verfügung auf Verletzung von Bundesrecht (einschliesslich Überschreitung oder Missbrauch des Ermessens), unrichtige oder unvollständige Feststellung des rechtserheblichen Sachverhalts und Unangemessenheit hin (Art. 49 VwVG; vgl. BVGE 2015/5 E. 2).</w:t>
      </w:r>
    </w:p>
    <w:p>
      <w:r>
        <w:rPr>
          <w:b/>
        </w:rPr>
        <w:t>E. 3</w:t>
      </w:r>
    </w:p>
    <w:p>
      <w:r>
        <w:t>Gestützt auf Art. 57 Abs. 1 e contrario VwVG wurde auf einen Schriftenwechsel verzichtet.</w:t>
      </w:r>
    </w:p>
    <w:p>
      <w:r>
        <w:rPr>
          <w:b/>
        </w:rPr>
        <w:t>E. 4</w:t>
      </w:r>
    </w:p>
    <w:p>
      <w:r>
        <w:t>Vorab ist im Rahmen der über das Rügeprinzip hinausgehenden Prüfungsbefugnis des Bundesverwaltungsgerichts von Amtes wegen eine Verletzung der Aktenführungspflicht durch das SEM festzustellen. Die Aktenführungspflicht - sie beinhaltet insbesondere die übersichtlich geordnete Ablage, Paginierung und Registrierung der vollständigen Akten im Aktenverzeichnis - ergibt sich aus dem Akteneinsichtsrecht der Beschwerdeführenden, welches in Art. 26 ff. VwVG geregelt ist und Teilgehalt des Anspruchs auf rechtliches Gehör darstellt (vgl. dazu ausführlich BVGE 2011/37 E. 5.4.1). Der Anspruch auf Akteneinsicht setzt eine geordnete, übersichtliche und vollständige Aktenführung voraus (vgl. Gerold Steinmann, in: St. Galler Kommentar zur BV, 3. Aufl. 2014, Art. 29 N. 42 ff. m.H.; BGE 137 II 266 E. 3.2, 136 I 229 E. 5.2, 135 I 279 E. 2.3, 135 II 286 E. 5.1; Urteil des BGer 8C_319/2010 vom 15. Dezember 2010 E. 2.2; BVGE 2012/24 E. 3.2, 2011/37 E. 5.4.1 je m.H.).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Vorliegend hat das SEM die Akten des Verfahrens betreffend Erteilung von Schengen-Visa aus humanitären Gründen weder paginiert noch in einem Aktenverzeichnis registriert und damit die Aktenführungspflicht verletzt. Am 22. Januar 2016 gingen beim Bundesverwaltungsgericht, nachdem das SEM mit Verfügung vom 17. Dezember 2015 dazu aufgefordert wurde, nunmehr ordentlich geführte Akten ein. Die ungenügende Aktenführung war für die Beschwerdeführenden im bisherigen Verfahren nicht von entscheidwesentlicher Bedeutung, da sie offenbar keine Akteneinsicht verlangt haben. Von einer Aufhebung der Verfügung und Rückweisung der Sache an die Vor­instanz kann deshalb - und insbesondere auch in Anbetracht des überwiegenden Interesses der Beschwerdeführenden an einem raschen Entscheid - verzichtet werden.</w:t>
      </w:r>
    </w:p>
    <w:p>
      <w:r>
        <w:rPr>
          <w:b/>
        </w:rPr>
        <w:t>E. 5.1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5.2</w:t>
      </w:r>
    </w:p>
    <w:p>
      <w:r>
        <w:t>Angehörige von Drittstaaten dürfen über die Aussengrenzen des Schengen-Raums für einen Aufenthalt von höchstens drei Monaten je Sechsmonatszeitraum einreisen, wenn sie im Besitz gültiger Reisedoku­mente sind, die zum Grenzübertritt berechtigen. Gemäss Art. 4 der Verordnung vom 22. Oktober 2008 über die Einreise und die Visumerteilung (VEV, SR 142.204) unterstehen Staatsangehörige gewisser Länder zudem der Visumspflicht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5.3</w:t>
      </w:r>
    </w:p>
    <w:p>
      <w:r>
        <w:t>Im Weiteren müssen Drittstaatsangehörige für den Erhalt eines ein­heitlichen Schengen-Visums im Sinne von Art. 2 Abs. 3 Visakodex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5.4</w:t>
      </w:r>
    </w:p>
    <w:p>
      <w:r>
        <w:t>Die Beschwerdeführenden unterliegen als jemenitische Staatsangehörige der Visumspflicht gemäss Art. 4 VEV bzw. der Verordnung (EG) Nr. 539/2001. Bezüglich der Nichterfüllung der Voraussetzungen für ein für den gesamten Schengenraum geltendes Visum kann vollumfänglich auf die zutreffenden vor­instanzlichen Erwägungen verwiesen werden, gegen die die Beschwerdeführenden denn auch keine Einwände erheben.</w:t>
      </w:r>
    </w:p>
    <w:p>
      <w:r>
        <w:rPr>
          <w:b/>
        </w:rPr>
        <w:t>E. 5.5</w:t>
      </w:r>
    </w:p>
    <w:p>
      <w:r>
        <w:t>Die Voraussetzungen für ein einheitliches Schengen-Visum im Sinne von Art. 2 Abs. 3 Visakodex sind daher nicht erfüllt.</w:t>
      </w:r>
    </w:p>
    <w:p>
      <w:r>
        <w:rPr>
          <w:b/>
        </w:rPr>
        <w:t>E. 6.1</w:t>
      </w:r>
    </w:p>
    <w:p>
      <w:r>
        <w:t>Sind die Voraussetzungen für die Ausstellung eines einheitlichen Schengen-Visums nicht erfüllt, kann ein Visum mit räumlich beschränkter Gültigkeit erteilt werden, wenn der Mitgliedstaat es aus humanitären Gründen, aus Gründen des nationalen Interesses oder aufgrund internationaler Verpflichtungen für erforderlich erhält. Ein solches Visum ist grundsätzlich nur für das Hoheitsgebiet des ausstellenden Staates gültig (vgl. Art. 2 Abs.4 i.V.m. Art. 25 Visakodex). Eine Visumserteilung aus humanitären Gründen ist auf nationaler Ebene in Art. 2 Abs. 4 i.V.m. Art. 12 Abs. 4 VEV normiert. Entsprechend der genannten Bestimmung können das Eidgenössische Departement für auswärtige Angelegenheiten (EDA) und das SEM im Rahmen ihrer Zuständigkeiten im Einzelfall eine Einreise für einen Aufenthalt von höchstens 90 Tagen aus humanitären Gründen bewilligen. Bei einem durch das Vorliegen einer beachtlichen unmittelbaren und ernsthaften konkreten Gefahr gerechtfertigten humanitären Visum entfällt die Einreisevoraussetzung, wonach die rechtzeitige (vor Ablauf der 90-tägigen Visumsdauer) Wiederausreise aus der Schweiz zu belegen ist. Es wird vielmehr davon ausgegangen, dass die Person ein Asylgesuch einreicht, sobald sie sich in der Schweiz befindet, ansonsten sie die Schweiz innert 90 Tagen zu verlassen hat.</w:t>
      </w:r>
    </w:p>
    <w:p>
      <w:r>
        <w:rPr>
          <w:b/>
        </w:rPr>
        <w:t>E. 6.2</w:t>
      </w:r>
    </w:p>
    <w:p>
      <w:r>
        <w:t>Der Begriff "humanitäre Gründe" ist weder in den Normen des Schengener Grenzkodex, des Visakodex noch in der VEV näher bestimmt. In der Botschaft vom 26. Mai 2010 zur Änderung des Asylgesetzes wird unter Hinweis auf die Wahrung der humani­tären Tradition der Schweiz ausdrücklich festgehalten,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(vgl. BBl 2010 4455, insbes. 4468, 4472, 4490). Die betroffene Person muss sich in einer besonderen Notsituation befinden, welche ein behördliches Eingreifen zwingend erforderlich macht und es rechtfertigt, ihr, im Gegensatz zu anderen Personen, ein Einreisevisum zu erteilen. Dies kann, so die Ausführungen in der Botschaft weiter, etwa bei akuten kriegerischen Ereignissen oder bei einer aufgrund der konkreten Situation individuellen Gefährdung gegeben sein. Das Visumgesuch ist unter Berücksichtigung der aktuellen Gefährdung, der persönlichen Umstände der betroffenen Person und der Lage im Heimat- oder Herkunftsland sorgfältig zu prüfen (vgl. BBl. a.a.O, S. 4468, 4472 und insbesondere 4490). Befindet sich die Person bereits in einem Drittstaat, ist in der Regel davon auszugehen, dass keine Gefährdung mehr besteht. Diese Ausführungen haben auch ihren Niederschlag in den entsprechenden Weisungen des SEM Nr. 322.123 "Visumsantrag aus humanitären Gründen" vom 25. Februar 2014 gefunden (Stand am 2. Februar 2015, nachfolgend: Weisungen humanitäres Visum). Die Einreisevoraussetzungen sind somit beim Visumsverfahren noch restriktiver als bei den Auslandgesuchen, bei denen Einreisebewilligungen bereits nur sehr zurückhaltend erteilt wurden (vgl. zur entsprechenden Praxis BVGE 2011/10 E. 3.3, BVGE 2015/5 E. 4.1).</w:t>
      </w:r>
    </w:p>
    <w:p>
      <w:r>
        <w:rPr>
          <w:b/>
        </w:rPr>
        <w:t>E. 6.3</w:t>
      </w:r>
    </w:p>
    <w:p>
      <w:r>
        <w:t>Das SEM geht vorliegend zu Recht davon aus, dass die Beschwerdeführenden nach ihrer Ausreise aus ihrem Heimatstaat in Jordanien zumindest vorübergehend Schutz vor einer im Heimatstaat erlittenen oder inskünftig drohenden Gefährdung gefunden haben. Es bestehen keine Anzeichen dafür, dass ihnen in naher Zukunft eine Ausschaffung nach Jemen droht. Die Beschwerdeführenden sind in Jordanien nicht ernsthaft an Leib und Leben bedroht und befinden sich nicht in einer ausweglosen Notsituation, die ein behördliches Eingreifen zwingend erforderlich machen würde. Der Beschwerdeführer (Vater) vermochte offenbar bei den jordanischen Behörden Anzeige aufgrund der erhaltenen Drohungen einzureichen; mithin ist davon auszugehen, dass die Beschwerdeführenden den Schutz der jordanischen Behörden erlangen konnten und diesen auch weiterhin erlangen können. Zudem obliegt es den Beschwerdeführenden, sich beim UNHCR in Jordanien als Flüchtlinge registrieren zu lassen respektive sich in Jordanien um dauerhaften Schutz zu bemühen. Wird ihnen ein solcher Schutz verweigert oder verändert sich ihre Situation in Jordanien anderweitig, steht es ihnen offen, sich erneut mit einem Gesuch um Erteilung eines humanitären Visums an die schweizerische Vertretung zu wenden. Hinsichtlich des Gesundheitszustands der Beschwerdeführerin (Grossmutter) ist den Akten lediglich zu entnehmen, dass sie sich in H.______ einer Behandlung unterziehen musste. Es wird nirgends ausgeführt, woran die Beschwerdeführerin leidet oder welche weiterführenden Behandlungen angezeigt wären, weshalb sich diesbezüglich weitere Erörterungen erübrigen. Bei dieser Sachlage ist schliesslich auch die geltend gemachte Gefährdung im Heimatstaat nicht näher zu prüfen.</w:t>
      </w:r>
    </w:p>
    <w:p>
      <w:r>
        <w:rPr>
          <w:b/>
        </w:rPr>
        <w:t>E. 6.4</w:t>
      </w:r>
    </w:p>
    <w:p>
      <w:r>
        <w:t>Die Verweigerung der Ausstellung von Visa aus humanitären Gründen durch die Botschaft und die Vorinstanz erweist sich demnach als rechtmässig.</w:t>
      </w:r>
    </w:p>
    <w:p>
      <w:r>
        <w:rPr>
          <w:b/>
        </w:rPr>
        <w:t>E. 7</w:t>
      </w:r>
    </w:p>
    <w:p>
      <w:r>
        <w:t>Aus diesen Erwägungen ergibt sich, dass die angefochtene Verfügung - im Ergebnis - Bundesrecht nicht verletzt, den rechtserheblichen Sachverhalt richtig sowie vollständig feststellt und angemessen ist (Art. 49 VwVG). Die Beschwerde ist mithin abzuweisen.</w:t>
      </w:r>
    </w:p>
    <w:p>
      <w:r>
        <w:rPr>
          <w:b/>
        </w:rPr>
        <w:t>E. 8</w:t>
      </w:r>
    </w:p>
    <w:p>
      <w:r>
        <w:t>Bei diesem Ausgang des Verfahrens wären dessen Kosten grundsätzlich den Beschwerdeführenden aufzuerlegen (Art. 63 Abs. 1 VwVG). Aus verwaltungsökonomischen Gründen und in Anwendung von Art. 63 Abs. 1 in fine VwVG und Art. 6 des Reglements vom 21. Februar 2008 über die Kosten und Entschädigungen vor dem Bundesverwaltungsgericht (VGKE, SR 173.320.2)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