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D-7989/2015 vom 15. Juni 2017</w:t>
      </w:r>
    </w:p>
    <w:p>
      <w:r>
        <w:t>Bundesverwaltungsgericht, 2017-06-15, DE</w:t>
      </w:r>
    </w:p>
    <w:p>
      <w:r>
        <w:rPr>
          <w:b/>
        </w:rPr>
        <w:t xml:space="preserve">Quelle: </w:t>
      </w:r>
      <w:r>
        <w:t>https://mcp.opencaselaw.ch/entscheid/bvger_D-7989_2015</w:t>
      </w:r>
    </w:p>
    <w:p>
      <w:r>
        <w:t>FR: TAF D-7989/2015 du 15 juin 2017</w:t>
      </w:r>
    </w:p>
    <w:p>
      <w:r>
        <w:t>IT: TAF D-7989/2015 del 15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w:t>
      </w:r>
    </w:p>
    <w:p>
      <w:r>
        <w:t>Auf das Beschwerdevorbringen, die in Ungarn für Asylsuchende herrschenden Verhältnisse seien untragbar, hielt das SEM im Rahmen des ersten Schriftenwechsels im Wesentlichen dafür, die aktuelle Quellenlage spreche nicht gegen die Wegweisung nach Ungarn. Es sei auch anzunehmen, dass es zu keiner Ausschaffung nach Serbien kommen könne, da Ungarn aufgrund fehlender Einträge in der "Eurodac"-Datenbank nicht beweisen könne, dass sich der Beschwerdeführer in Ungarn illegal aufgehalten habe. Zudem dürfte in Ungarn der Zugang zum Asylverfahren nach wie vor gewährleistet sein und der Beschwerdeführer auch kaum mit einer völkerrechtswidrigen Haft zu rechnen haben. Diesbezüglich sei auf eine Gesetzesänderung vom 1. August 2016 zu verweisen. In der Replik hielt der Beschwerdeführer am Risiko einer Kettenabschiebung fest. Mit Eingabe vom 4. August 2016 wurde auf kritische Berichte von Flüchtlingsorganisationen hingewiesen (mit Bezug zur Aufnahmesituation in Ungarn infolge der Schliessung der Balkanroute, der drohenden Wegweisung nach Serbien oder Griechenland, den eingeschränkten Zugang zum Asylverfahren und Beobachtungen über die Inhaftierung von Dublin-Rückkehrern). Das Staatssekretariat machte in der zweiten Vernehmlassung vom 23. August 2016 geltend, das Risiko einer "Kettenabschiebung" sei aufgrund der Bestimmungen im Abkommen zwischen der Europäischen Gemeinschaft und der Republik Serbien über die Rückübernahme von Personen mit unbefugtem Aufenthalt (2007/819/EG) und aufgrund der Praxis in Ungarn verschwindend gering. Zudem lägen keine Hinweise vor, dass der Beschwerdeführer bei einer Überstellung in Ungarn inhaftiert würde. In der Triplik vom 22. September 2016 wurden der Schutz vor Kettenabschiebung, der Zugang zum Asylverfahren und die Haftpraxis mit neuerlichem Hinweis auf die Berichtslage als fraglich eingestuft. Aus der Sicht des Bundesverwaltungsgerichts hat sich die umfangreiche Berichtslage zu Ungarn seither weder ernsthaft entspannt, noch lässt diese zum heutigen Zeitpunkt - wie nachfolgend aufgezeigt aufgrund einer abermaligen Veränderung der Ausgangslage in Ungarn - eine abschliessende Würdigung zu.</w:t>
      </w:r>
    </w:p>
    <w:p>
      <w:r>
        <w:rPr>
          <w:b/>
        </w:rPr>
        <w:t>E. 5.1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5.3</w:t>
      </w:r>
    </w:p>
    <w:p>
      <w:r>
        <w:t>Die Beschwerde ist daher gutzuheissen, soweit die Aufhebung der vorinstanzlichen Verfügung beantragt wurde.</w:t>
      </w:r>
    </w:p>
    <w:p>
      <w:r>
        <w:rPr>
          <w:b/>
        </w:rPr>
        <w:t>E. 6.1</w:t>
      </w:r>
    </w:p>
    <w:p>
      <w:r>
        <w:t>Bei diesem Ausgang des Verfahrens sind keine Kosten zu erheben (Art. 63 Abs. 1 und 2 VwVG).</w:t>
      </w:r>
    </w:p>
    <w:p>
      <w:r>
        <w:rPr>
          <w:b/>
        </w:rPr>
        <w:t>E. 6.2</w:t>
      </w:r>
    </w:p>
    <w:p>
      <w:r>
        <w:t>Der Beschwerdeführer wurde durch die ihm zugewiesene Rechtsvertretung im Sinne von Art. 25 TestV vertreten, die vom SEM für die Wahrnehmung der Vertretung im Beschwerdeverfahren entschädigt wird. Aus diesem Grund ist davon auszugehen, dass dem Beschwerdeführer durch die Beschwerdeführung keine Kosten erwachsen sind. Eine Parteientschädigung ist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