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D-7985/2008 vom 5. Februar 2010</w:t>
      </w:r>
    </w:p>
    <w:p>
      <w:r>
        <w:t>Bundesverwaltungsgericht, 2010-02-05, DE</w:t>
      </w:r>
    </w:p>
    <w:p>
      <w:r>
        <w:rPr>
          <w:b/>
        </w:rPr>
        <w:t xml:space="preserve">Quelle: </w:t>
      </w:r>
      <w:r>
        <w:t>https://mcp.opencaselaw.ch/entscheid/bvger_D-7985_2008</w:t>
      </w:r>
    </w:p>
    <w:p>
      <w:r>
        <w:t>FR: TAF D-7985/2008 du 5 février 2010</w:t>
      </w:r>
    </w:p>
    <w:p>
      <w:r>
        <w:t>IT: TAF D-7985/2008 del 5 febbraio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sind durch die angefochtenen Verfügungen besonders berührt und haben ein schutzwürdiges Interesse an deren Aufhebung beziehungsweise Änderung. Sie sind daher zur Einreichung der Beschwerde legitimiert (Art. 108 AsylG sowie Art. 105 AsylG i.V.m. Art. 37 VGG und Art. 48 Abs. 1 und Art. 52 VwVG). Auf die Beschwerde ist somit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Vorab stellt sich die Frage, ob es sich beim Gesuch vom 3. Oktober 2008 um ein Gesuch um Familiennachzug und Einbezug der Beschwerdeführerin in die Flüchtlingseigenschaft und das Asyl des Beschwerdeführers handelt, auf das in erster Linie Art. 51 Abs. 2 und 4 AsylG Anwendung finden würde, oder aber - wie auf Beschwerdeebene geltend gemacht - auch um ein Asylgesuch aus dem Ausland, das primär nach Art. 20 Abs. 2 und 3 i.V.m. Art. 3 sowie Art. 52 Abs. 2 AsylG zu beurteilen wäre.</w:t>
      </w:r>
    </w:p>
    <w:p>
      <w:r>
        <w:rPr>
          <w:b/>
        </w:rPr>
        <w:t>E. 2.2</w:t>
      </w:r>
    </w:p>
    <w:p>
      <w:r>
        <w:t>Die Eingabe des Beschwerdeführers vom 3. Oktober 2008, die explizit als "Gesuch um Familienzusammenführung" und nicht als "Asylgesuch" bezeichnet wurde, wurde einzig mit dem Umstand begründet, dass es sich bei der Beschwerdeführerin um die Tochter des Beschwerdeführers handle, der es als alleinstehender junger Frau nicht zuzumuten sei, ohne Familie allein in der Türkei zurückzubleiben. Eine persönliche Gefährdung der Beschwerdeführerin wurde weder geltend gemacht noch mit dem blossen Hinweis, ein Verbleib in der Türkei sei ihr ohne Familie nicht zuzumuten, angedeutet. Das BFM hatte aufgrund der Sachverhaltsvorbringen im Gesuch um Familienzusammenführung keine Veranlassung zu prüfen, ob die Beschwerdeführerin die Flüchtlingseigenschaft selbständig erfüllt beziehungsweise ob ihr gemäss Art. 20 Abs. 2 und 3 AsylG die Einreise in die Schweiz zu bewilligen ist. Aufgrund der Akten war eine Gefährdung der Beschwerdeführerin auch nicht zu vermuten, zumal neben ihr noch weitere volljährige Kinder des Beschwerdeführers in der Türkei leben, die vom Familiennachzugsgesuch nicht umfasst sind, und die ihrerseits keine Asylgesuche wegen persönlicher Gefährdung aufgrund drohender Reflexverfolgung eingereicht haben. Dass das BFM im Dispositiv der Verfügung vom 13. November 2008 - nebst der Nichtbewilligung der Einreise der Beschwerdeführerin in die Schweiz - das (Familien-)Asylgesuch abgelehnt hat, heisst nicht, dass es die originäre Flüchtlingseigenschaft geprüft hätte beziehungsweise hätte prüfen müssen. Vielmehr ist darunter die Nichtgewährung des Familienasyls gemäss Art. 51 Abs. 2 AsylG - und somit die Ablehnung des Familien-Asylgesuchs - zu verstehen.</w:t>
      </w:r>
    </w:p>
    <w:p>
      <w:r>
        <w:rPr>
          <w:b/>
        </w:rPr>
        <w:t>E. 2.3</w:t>
      </w:r>
    </w:p>
    <w:p>
      <w:r>
        <w:t>In der Beschwerdeeingabe vom 12. Dezember 2008 wurde erstmals eine persönliche Gefährdung der Beschwerdeführerin geltend gemacht. Grundsätzlich hat - wie der Rechtsvertreter der Beschwerdeführenden an sich zu Recht ausführt - die Prüfung der originären Flüchtlingseigenschaft der Prüfung eines allfälligen derivativen Anspruchs auf Anerkennung als Flüchtling vorzugehen (vgl. Entscheide des Schweizerischen Bundesverwaltungsgerichts [BVGE] 2007/19). Dies bedingt jedoch, dass eigene Asylgründe auch tatsächlich vorgebracht werden, oder solche zumindest aufgrund der Akten zu vermuten sind. Dies war vorliegend bis zum Zeitpunkt der Beschwerdeerhebung nicht der Fall. Im Familiennachzugsgesuch vom 3. Oktober 2008 beziehungsweise zum Zeitpunkt des Erlasses der Verfügung des BFM vom 13. November 2008 wurde weder eine persönliche Gefährdung der Beschwerdeführerin geltend gemacht noch hatte das BFM Veranlassung, eine solche von sich aus zu prüfen (vgl. E. 2.2). Aufgrund der vorliegenden Aktenlage rechtfertigt es sich somit, zunächst die Frage des Familienasyls zu prüfen, d. h. ob der Beschwerdeführerin gestützt auf Art. 51 Abs. 2 AsylG (Familien-)Asyl zu gewähren und ihr damit gemäss Art. 51 Abs. 4 AsylG die Einreise in die Schweiz zu bewilligen ist. Wäre dies der Fall, so würde sich die Prüfung der Einreise in die Schweiz gemäss Art. 20 Abs. 2 und 3 AsylG erübrigen und das BFM wäre anzuweisen, der Beschwerdeführerin zumindest - nach Prüfung einer allfälligen originären Flüchtlingseigenschaft - gestützt auf Art. 51 Abs. 2 AsylG unter Zuerkennung der derivativen Flüchtlingseigenschaft Asyl zu gewähren. Ergibt die Prüfung hingegen, dass der Beschwerdeführerin kein Familienasyl zu gewähren ist, hätte das BFM aufgrund der in der Beschwerdeeingabe vom 12. Dezember 2008 neu geltend gemachten persönlichen Gefährdung der Beschwerdeführerin zu prüfen, ob sie die Flüchtlingseigenschaft originär erfüllt und ihr die Einreise in die Schweiz gemäss Art. 20 Abs. 2 und 3 AsylG zu gewähren sei.</w:t>
      </w:r>
    </w:p>
    <w:p>
      <w:r>
        <w:rPr>
          <w:b/>
        </w:rPr>
        <w:t>E. 3.1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w:t>
      </w:r>
    </w:p>
    <w:p>
      <w:r>
        <w:rPr>
          <w:b/>
        </w:rPr>
        <w:t>E. 3.2</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Entscheidungen und Mitteilungen der ARK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S. 191).</w:t>
      </w:r>
    </w:p>
    <w:p>
      <w:r>
        <w:rPr>
          <w:b/>
        </w:rPr>
        <w:t>E. 4.1</w:t>
      </w:r>
    </w:p>
    <w:p>
      <w:r>
        <w:t>Das BFM kam in der angefochtenen Verfügung vom 13. November 2008 zum Schluss, dass keine besonderen Gründe für eine Familienvereinigung im Sinne von Art. 51 Abs. 2 AsylG vorlägen. Dieser Einschätzung ist beizupflichten. Auch die Ausführungen in den Beschwerdeeingaben vermögen zu keiner anderen Beurteilung zu führen. Für die Frage der Minderjährigkeit beziehungsweise Volljährigkeit der Beschwerdeführerin und somit Anwendung von Art. 51 Abs. 2 AsylG und nicht Art. 51 Abs. 1 AsylG, ist der Zeitpunkt der Einreichung des Gesuchs um Familiennachzug (3. Oktober 2008) massgebend, und nicht - wie von den Beschwerdeführenden geltend gemacht - der Zeitpunkt der Asylgesuchseinreichung des Beschwerdeführers (10. Juli 2006). Bei der Einreichung des Gesuchs um Familiennachzug am 3. Oktober 2008 war die Beschwerdeführerin bereits volljährig. Es ist zwar verständlich, dass die Beschwerdeführerin durch die Trennung von der Mutter und den minderjährigen Geschwistern, mit denen sie bisher im gleichen Haushalt gelebt habe, verunsichert ist, und ihr die neue Situation Unbehagen bereitet. Damit vermag sie den Anforderungen von Art. 51 Abs. 2 AsylG jedoch nicht zu genügen. Es wurden keine Gründe dargelegt, die die Beschwerdeführerin im Vergleich zu anderen jungen Erwachsenen in ihrem Alter als besonders fürsorgebedürftig durch ihre Eltern im Sinne von Art. 51 Abs. 2 AsylG erscheinen liessen. Die Beschwerdeführerin ist mittlerweile bald (...) Jahre alt und es kann von ihr erwartet werden, dass sie auf eigenen Füssen steht und selber für ihren Lebensunterhalt aufkommt. In der Schweiz wird dies von Gleichaltrigen grundsätzlich auch erwartet. Auch wenn die Beschwerdeführerin die Aufnahmeprüfungen für die Universität nicht bestanden hat, verfügt sie mit der Matura über eine überdurchschnittlich gute Schulbildung. Dank dieser sollte es der Beschwerdeführerin möglich sein, eine Arbeitsstelle zu finden beziehungsweise einen Beruf zu erlernen. Es ist ihr zuzumuten, sich um eine entsprechende Stelle zu bemühen, zumal sie nicht in einem kleinen Dorf auf dem Land, sondern in der Grossstadt C._______ - (...) - lebt. Mit mehreren ebenfalls in der Türkei lebenden volljährigen Geschwistern verfügt sie zudem über ein soziales Beziehungsnetz im Heimatland, das ihr - wenn auch angeblich nicht finanziell - mit Rat zur Seite stehen kann. Sind die Voraussetzungen des Familienasyls im Sinne von Art. 51 Abs. 1 und 2 AsylG nicht erfüllt, kann Art. 8 EMRK - wie auch die Bestimmungen des UNO-Pakts II - nicht ergänzend angewendet werden. Die Frage eines allfälligen Anspruchs auf Familiennachzug gestützt auf diese Bestimmung wäre von den Beschwerdeführenden auf dem ausländerrechtlichen Weg abzuklären (vgl. EMARK 2002 Nr. 6 S. 43).</w:t>
      </w:r>
    </w:p>
    <w:p>
      <w:r>
        <w:rPr>
          <w:b/>
        </w:rPr>
        <w:t>E. 4.2</w:t>
      </w:r>
    </w:p>
    <w:p>
      <w:r>
        <w:t>Zusammenfassend ist festzuhalten, dass die Voraussetzungen für den Einschluss der Beschwerdeführerin in das Familienasyl gemäss Art. 51 Abs. 2 AsylG respektive die Bewilligung ihrer Einreise in die Schweiz gemäss Art. 51 Abs. 4 AsylG nicht erfüllt sind. Das BFM hat somit die Einreise der Beschwerdeführerin in die Schweiz und das Familienasylgesuch mit Verfügung vom 13. November 2008 zu Recht abgelehnt.</w:t>
      </w:r>
    </w:p>
    <w:p>
      <w:r>
        <w:rPr>
          <w:b/>
        </w:rPr>
        <w:t>E. 5</w:t>
      </w:r>
    </w:p>
    <w:p>
      <w:r>
        <w:t>Die in der Beschwerdeeingabe vom 12. Dezember 2008 erstmals geltend gemachte persönliche Gefährdung der Beschwerdeführerin (Reflexverfolgung) ist zur Prüfung als Asylgesuch aus dem Ausland an das BFM zu überweisen. In diesem Rahmen wird vom BFM auch zu prüfen sein, ob der Beschwerdeführerin die Einreise in die Schweiz unter dem Titel des Asylgesuchs aus dem Ausland gemäss Art. 20 Abs. 2 und 3 AsylG zu bewilligen sein wird.</w:t>
      </w:r>
    </w:p>
    <w:p>
      <w:r>
        <w:rPr>
          <w:b/>
        </w:rPr>
        <w:t>E. 6.1</w:t>
      </w:r>
    </w:p>
    <w:p>
      <w:r>
        <w:t>Mit Verfügung vom 8. Dezember 2008 verweigerte das BFM dem Beschwerdeführer die Einsicht in die Akten seines eigenen - abgeschlossenen - Asylverfahrens, da er kein schutzwürdiges Interesse an der Einsichtnahme geltend gemacht habe.</w:t>
      </w:r>
    </w:p>
    <w:p>
      <w:r>
        <w:rPr>
          <w:b/>
        </w:rPr>
        <w:t>E. 6.2</w:t>
      </w:r>
    </w:p>
    <w:p>
      <w:r>
        <w:t>Das Recht auf Einsicht in die Verfahrensakten bildet einen Teilaspekt des verfassungsmässigen Anspruchs auf das rechtliche Gehör (Art. 29 Abs. 2 der Bundesverfassung der Schweizerischen Eidgenossenschaft vom 18. April 1999 [BV, SR 101]; vgl. ausserdem Art. 29-33 VwVG). Die allgemeinen, aus Art. 29 Abs. 2 BV abgeleiteten Grundsätze zum Akteneinsichtsrecht haben in den Art. 26 bis 28 VwVG Ausdruck gefunden (BGE 115 V 297 E. 2d S. 301 f.). Akten eines abgeschlossenen Asylverfahrens fallen in den Geltungsbereich des Bundesgesetzes vom 19. Juni 1992 über den Datenschutz (DSG, SR 235.1; Art. 2 Abs. 2 Bst. c DSG). Die Bestimmungen dieses Gesetzes sind nach abgeschlossenem Asylverfahren grundsätzlich uneingeschränkt anwendbar und gehen insofern den Regeln von Art. 26-28 VwVG betreffend Akteneinsicht, die während des Asylverfahrens massgeblich sind, als lex specialis vor (vgl. den nach wie vor gültigen Grundsatzentscheid der ARK in EMARK 1997 Nr. 7 E. 2.a f.). Das Einsichtsrecht in Akten eines abgeschlossenen Asylverfahrens kann demnach gemäss Art. 9 DSG verweigert werden, soweit ein Gesetz im formellen Sinn dies vorsieht (Abs. 1 Bst. a), es wegen überwiegender öffentlicher oder privater Interessen erforderlich ist (Abs. 1 Bst. b und Abs. 2 Bst. a), oder es den Zweck einer Strafuntersuchung oder eines andern Untersuchungsverfahrens in Frage stellt (Abs. 2 Bst. b). Die Verweigerungstatbestände von Art. 9 DSG stimmen im Wesentlichen mit denjenigen von Art. 27 VwVG überein. Die bereits vor Inkrafttreten des DSG entwickelte bundesgerichtliche Rechtsprechung zur Akteneinsicht in abgeschlossene Verfahren, wonach das rechtliche Gehör einen Anspruch auf Akteneinsicht auch ausserhalb eines hängigen Verfahrens garantiert, sofern ein schutzwürdiges Interesse geltend gemacht wird und keine privaten oder öffentlichen Geheimhaltungsinteressen entgegenstehen (vgl. BGE 113 Ia 1 ff.), ist damit nach wie vor massgebend.</w:t>
      </w:r>
    </w:p>
    <w:p>
      <w:r>
        <w:rPr>
          <w:b/>
        </w:rPr>
        <w:t>E. 6.3</w:t>
      </w:r>
    </w:p>
    <w:p>
      <w:r>
        <w:t>Das Asylverfahren des Beschwerdeführers war im Zeitpunkt der Einreichung des Akteneinsichtsgesuchs vom 28. November 2008 rechtskräftig abgeschlossen. Die Einsicht in die Akten des Asylverfahrens des Beschwerdeführers richtet sich somit nach dem DSG. Der Beschwerdeführer hat sein Gesuch nicht näher begründet, sondern lediglich unter Bezugnahme auf den negativen Entscheid des BFM hinsichtlich (Nicht-)Bewilligung der Einreise der Beschwerdeführerin vom 13. November 2008 die Einsicht in die eigenen Asylakten beantragt. Damit hat er kein schutzwürdiges Interesse auf Einsicht in die Akten seines abgeschlossenen Asylverfahrens dargelegt (vgl. BGE 113 Ia 1 ff.). Ein solches war im damaligen Zeitpunkt mit der blossen Bezugnahme auf die Verfügung des BFM vom 13. November 2008 und aufgrund der Sachverhaltsvorbringen im Gesuch um Familienzusammenführung vom 3. Oktober 2008, in dem keine persönliche Gefährdung der Beschwerdeführerin vorgebracht worden war (vgl. E. 2.2), auch nicht ersichtlich.</w:t>
      </w:r>
    </w:p>
    <w:p>
      <w:r>
        <w:rPr>
          <w:b/>
        </w:rPr>
        <w:t>E. 6.4</w:t>
      </w:r>
    </w:p>
    <w:p>
      <w:r>
        <w:t>Das BFM hat damit dem Beschwerdeführer die Einsicht in die Akten seines abgeschlossenen Asylverfahrens mit Verfügung vom 8. Dezember 2008 zu Recht verweigert.</w:t>
      </w:r>
    </w:p>
    <w:p>
      <w:r>
        <w:rPr>
          <w:b/>
        </w:rPr>
        <w:t>E. 7</w:t>
      </w:r>
    </w:p>
    <w:p>
      <w:r>
        <w:t>Aus diesen Erwägungen ergibt sich, dass die Verfügungen des BFM vom 13. November 2008 und 8. Dezember 2008 Bundesrecht nicht verletzen (Art. 106 AsylG). Die Beschwerde ist demnach abzuweisen.</w:t>
      </w:r>
    </w:p>
    <w:p>
      <w:r>
        <w:rPr>
          <w:b/>
        </w:rPr>
        <w:t>E. 8</w:t>
      </w:r>
    </w:p>
    <w:p>
      <w:r>
        <w:t>Bei diesem Ausgang des Verfahrens sind dessen Kosten grundsätzlich den Beschwerdeführenden aufzuerlegen (Art. 63 Abs. 1 VwVG). Da die Beschwerde jedoch im Zeitpunkt ihrer Einreichung nicht als aussichtslos betrachtet werden konnte und die Bedürftigkeit des Beschwerdeführers belegt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