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D-7960/2025 vom 18. Dezember 2025</w:t>
      </w:r>
    </w:p>
    <w:p>
      <w:r>
        <w:t>Bundesverwaltungsgericht, 2025-12-18, DE</w:t>
      </w:r>
    </w:p>
    <w:p>
      <w:r>
        <w:rPr>
          <w:b/>
        </w:rPr>
        <w:t xml:space="preserve">Quelle: </w:t>
      </w:r>
      <w:r>
        <w:t>https://mcp.opencaselaw.ch/entscheid/bvger_D-7960_2025</w:t>
      </w:r>
    </w:p>
    <w:p>
      <w:r>
        <w:t>FR: TAF D-7960/2025 du 18 décembre 2025</w:t>
      </w:r>
    </w:p>
    <w:p>
      <w:r>
        <w:t>IT: TAF D-7960/2025 del 18 dicembre 2025</w:t>
      </w:r>
    </w:p>
    <w:p>
      <w:pPr>
        <w:pStyle w:val="Heading2"/>
      </w:pPr>
      <w:r>
        <w:t>Regeste</w:t>
      </w:r>
    </w:p>
    <w:p>
      <w:r>
        <w:t>Asyl und Wegweisung (Wiedererwägung)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 führung legitimiert (Art. 105 und Art. 108 Abs. 6 AsylG; Art. 48 Abs. 1 sowie Art. 52 Abs. 1 VwVG). Auf die frist- und formgerecht eingereichte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t>D-7960/2025 Seite 5</w:t>
      </w:r>
    </w:p>
    <w:p>
      <w:r>
        <w:rPr>
          <w:b/>
        </w:rPr>
        <w:t>E. 4</w:t>
      </w:r>
    </w:p>
    <w:p>
      <w:r>
        <w:t>4.1 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 Ein solches Gesuch (sog. «qualifiziertes Wiederer- wägungsgesuch») ist grundsätzlich nach den Regeln des Revisionsverfah- rens zu behandeln und richtet sich im Übrigen nach den Bestimmungen von Art. 66 ff. VwVG (vgl. BVGE 2013/22 E. 5.4 ff.). Es bezweckt die Abän- derung einer ursprünglich fehlerhaften, unangefochten in Rechtskraft er- wachsenen Verfügung und hat regelmässig die Korrektur eines bereits ur- sprünglich fehlerhaften Entscheids aufgrund vorbestandener aber nach- träglich erfahrener Tatsachen beziehungsweise vorbestandener aber nachträglich aufgefundener Beweismittel zum Gegenstand (Art. 111b AsylG i.V.m. Art. 66 Abs. 2 Bst. a VwVG).</w:t>
      </w:r>
    </w:p>
    <w:p>
      <w:r>
        <w:rPr>
          <w:b/>
        </w:rPr>
        <w:t>E. 4.3</w:t>
      </w:r>
    </w:p>
    <w:p>
      <w:r>
        <w:t>Die Vorinstanz hat die Eingabe der Beschwerdeführenden vom 6. Juni 2024 zutreffend als qualifiziertes Wiedererwägungsgesuch nach den Best- immungen von 111b AsylG (i.V.m. Art. 66 Abs. 2 Bst. a VwVG analog) be- handelt.</w:t>
      </w:r>
    </w:p>
    <w:p>
      <w:r>
        <w:rPr>
          <w:b/>
        </w:rPr>
        <w:t>E. 5</w:t>
      </w:r>
    </w:p>
    <w:p>
      <w:r>
        <w:t>5.1 Die Beschwerdeführenden rügen in formeller Hinsicht, die Vorinstanz habe das rechtliche Gehör verletzt, indem sie den Sachverhalt unzureichend abgeklärt und ihrer Begründungspflicht nicht ausreichend nachgekommen sei. Diese formelle Rüge ist vorab zu prüfen, da ihre Begründetheit die Kassation der vorinstanzlichen Verfügung bewirken könnte. 5.25.2.1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5.2.2 Die Rüge erweist sich als unbegründet.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Die Beschwerdeführenden legen keine konkreten Anhaltspunkte dar, welche Zweifel an der vorinstanzlichen Sachverhaltsfeststellung zu begründen vermöchten. Ihre Ausführungen erschöpfen sich vielmehr in pauschalen sowie unbelegten Behauptungen und es ist auch aus der Beschwerde, den weiteren Rechtsmitteleingaben und den im Rahmen des Beschwerdeverfahrens eingereichten Beweismitteln nicht ersichtlich, inwiefern diesen im vorliegenden Verfahren entscheidrelevante Bedeutung zukommen soll (vgl. Beschwerde, S. 5 ff.). Der Umstand, dass die Beschwerdeführenden die Schlussfolgerungen der Vorinstanz nicht teilen, beschlägt im Übrigen nicht formell-rechtliche Ansprüche, sondern die materiell-rechtliche Würdigung des Sachverhalts. Es liegt somit weder eine unvollständige oder unrichtige Feststellung des rechtserheblichen Sachverhalts vor noch ist eine Verletzung anderer Verfahrensrechte erkennbar.</w:t>
      </w:r>
    </w:p>
    <w:p>
      <w:r>
        <w:rPr>
          <w:b/>
        </w:rPr>
        <w:t>E. 5.1</w:t>
      </w:r>
    </w:p>
    <w:p>
      <w:r>
        <w:t>Die Beschwerdeführenden rügen in formeller Hinsicht, die Vorinstanz habe das rechtliche Gehör verletzt, indem sie den Sachverhalt unzu- reichend abgeklärt und ihrer Begründungspflicht nicht ausreichend nach- gekommen sei. Diese formelle Rüge ist vorab zu prüfen, da ihre Begrün- detheit die Kassation der vorinstanzlichen Verfügung bewirken könnte.</w:t>
      </w:r>
    </w:p>
    <w:p>
      <w:r>
        <w:rPr>
          <w:b/>
        </w:rPr>
        <w:t>E. 5.2.1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w:t>
      </w:r>
    </w:p>
    <w:p>
      <w:r>
        <w:t>D-7960/2025 Seite 6 ihrer Entscheidfindung angemessen zu berücksichtigen. Nicht erforderlich ist, dass sich die Begründung mit allen Parteistandpunkten einlässlich aus- einandersetzt und jedes einzelne Vorbringen ausdrücklich widerlegt (vgl. BGE 143 III 65 E. 5.2).</w:t>
      </w:r>
    </w:p>
    <w:p>
      <w:r>
        <w:rPr>
          <w:b/>
        </w:rPr>
        <w:t>E. 5.2.2</w:t>
      </w:r>
    </w:p>
    <w:p>
      <w:r>
        <w:t>Die Rüge erweist sich als unbegründet. Die Vorinstanz hat den rechtserheblichen Sachverhalt rechtsgenüglich festgestellt und ihren Ent- scheid in tatsächlicher und rechtlicher Hinsicht nachvollziehbar begründet sowie im Einzelnen hinreichend differenziert dargelegt, von welchen Über- legungen sie sich leiten liess (vgl. angefochtene Verfügung S. 4 ff.). Die Beschwerdeführenden legen keine konkreten Anhaltspunkte dar, welche Zweifel an der vorinstanzlichen Sachverhaltsfeststellung zu begründen vermöchten. Ihre Ausführungen erschöpfen sich vielmehr in pauschalen sowie unbelegten Behauptungen und es ist auch aus der Beschwerde, den weiteren Rechtsmitteleingaben und den im Rahmen des Beschwerdever- fahrens eingereichten Beweismitteln nicht ersichtlich, inwiefern diesen im vorliegenden Verfahren entscheidrelevante Bedeutung zukommen soll (vgl. Beschwerde, S. 5 ff.). Der Umstand, dass die Beschwerdeführenden die Schlussfolgerungen der Vorinstanz nicht teilen, beschlägt im Übrigen nicht formell-rechtliche Ansprüche, sondern die materiell-rechtliche Würdi- gung des Sachverhalts. Es liegt somit weder eine unvollständige oder un- richtige Feststellung des rechtserheblichen Sachverhalts vor noch ist eine Verletzung anderer Verfahrensrechte erkennbar.</w:t>
      </w:r>
    </w:p>
    <w:p>
      <w:r>
        <w:rPr>
          <w:b/>
        </w:rPr>
        <w:t>E. 5.3</w:t>
      </w:r>
    </w:p>
    <w:p>
      <w:r>
        <w:t>Folglich rechtfertigt sich eine Rückweisung der Sache an die Vorinstanz zur Neubeurteilung beziehungsweise eingehenderen Begründung nicht. Das Subeventualbegehren ist abzuweisen.</w:t>
      </w:r>
    </w:p>
    <w:p>
      <w:r>
        <w:rPr>
          <w:b/>
        </w:rPr>
        <w:t>E. 6</w:t>
      </w:r>
    </w:p>
    <w:p>
      <w:r>
        <w:t>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w:t>
      </w:r>
    </w:p>
    <w:p>
      <w:r>
        <w:t>D-7960/2025 Seite 7 Abkommens vom 28. Juli 1951 über die Rechtsstellung der Flüchtlinge (FK, SR 0.142.30) vorbehalten bleibt (Art. 3 Abs. 4 AsylG).</w:t>
      </w:r>
    </w:p>
    <w:p>
      <w:r>
        <w:rPr>
          <w:b/>
        </w:rPr>
        <w:t>E. 6.3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6.4</w:t>
      </w:r>
    </w:p>
    <w:p>
      <w:r>
        <w:t>6.4.1 Nach Prüfung der Akten ist in Übereinstimmung mit der Vorinstanz festzustellen, dass die Vorbringen der Beschwerdeführenden weder den Anforderungen an die Flüchtlingseigenschaft nach Art. 3 AsylG noch jene für die Anerkennung der Flüchtlingseigenschaft aufgrund subjektiver Nachfluchtgründe (Art. 54 AsylG) standzuhalten vermögen, weshalb vorab auf die ausführlichen sowie zutreffenden Erwägungen der Vorinstanz zu verweisen ist (vgl. angefochtene Verfügung S. 4 ff.). Die vorinstanzliche Schlussfolgerung ist weder in tatsächlicher noch in rechtlicher Hinsicht zu beanstanden. Die Beschwerdevorbringen sind nicht geeignet, zu einer von der Vorinstanz abweichenden Betrachtungsweise zu gelangen.</w:t>
      </w:r>
    </w:p>
    <w:p>
      <w:r>
        <w:rPr>
          <w:b/>
        </w:rPr>
        <w:t>E. 6.4.1</w:t>
      </w:r>
    </w:p>
    <w:p>
      <w:r>
        <w:t>Nach Prüfung der Akten ist in Übereinstimmung mit der Vorinstanz festzustellen, dass die Vorbringen der Beschwerdeführenden weder den Anforderungen an die Flüchtlingseigenschaft nach Art. 3 AsylG noch jene für die Anerkennung der Flüchtlingseigenschaft aufgrund subjektiver Nach- fluchtgründe (Art. 54 AsylG) standzuhalten vermögen, weshalb vorab auf die ausführlichen sowie zutreffenden Erwägungen der Vorinstanz zu ver- weisen ist (vgl. angefochtene Verfügung S. 4 ff.). Die vorinstanzliche Schlussfolgerung ist weder in tatsächlicher noch in rechtlicher Hinsicht zu beanstanden. Die Beschwerdevorbringen sind nicht geeignet, zu einer von der Vorinstanz abweichenden Betrachtungsweise zu gelangen.</w:t>
      </w:r>
    </w:p>
    <w:p>
      <w:r>
        <w:rPr>
          <w:b/>
        </w:rPr>
        <w:t>E. 6.4.2</w:t>
      </w:r>
    </w:p>
    <w:p>
      <w:r>
        <w:t>Hinsichtlich der geltend gemachten Strafverfolgung wegen Propa- ganda für eine Terrororganisation (Art. 7 Abs. 2 des türkischen Antiterror- gesetzes [ATG]) und des in diesem Zusammenhang gegen den Beschwer- deführer erlassenen Vorführbefehls hat die Vorinstanz zutreffend die im Referenzurteil des BVGer E-4103/2024 vom 8. November 2024 festgeleg- ten Kriterien angewandt. Die Beschwerdeführenden wenden dagegen ein, die Zusammenlegung mehrerer Verfahren führe zwingend zu einer ver- schärften Strafe und damit zu einer asylrelevanten Verfolgung. Dieser Ein- wand vermag nicht zu überzeugen. Wie im Referenzurteil des BVGer E-4103/2024 vom 8. November 2024 (E. 8.1 und 8.4.4) festgehalten, liegt die statistische Wahrscheinlichkeit einer Verurteilung bei ATG-Delikten – auch bei einer Kumulation von Vorwürfen – auf einem tiefen Niveau. Selbst im Verurteilungsfall schöpfen die türkischen Gerichte bei Ersttätern ohne geschärftes oppositionelles Profil den Strafrahmen in der Regel nicht aus, sondern verhängen Freiheitsstrafen im unteren Bereich, deren Vollzug häufig bedingt ausgesprochen oder deren Urteilsverkündung aufgescho- ben wird (vgl. Referenzurteil des BVGer E-4103/2024 vom 8. November 2024 E. 8.7.1 f.).</w:t>
      </w:r>
    </w:p>
    <w:p>
      <w:r>
        <w:t>D-7960/2025 Seite 8 Vor diesem Hintergrund gehen die in Beschwerde geäusserten Behaup- tungen und Mutmassungen betreffend eine obligatorische Strafschärfung bei mehreren beziehungsweise vereinten Verfahren ins Leere und vermö- gen die bereits im Ausgangsverfahren getroffene Feststellung, dass beim Beschwerdeführer nicht von einem exponierten oppositionspolitischen Pro- fil auszugehen ist (vgl. Urteil des BVGer D-7194/2023 vom 3. April 2024 E. 6.2.2 f.), nicht zu widerlegen. Ein besonderes Verfolgungsinteresse des türkischen Staates, das über die routinemässige Strafverfolgung hinaus- geht und zu einer unverhältnismässig harten Bestrafung führt, ist nicht be- legt und auch anderweitig nicht ersichtlich.</w:t>
      </w:r>
    </w:p>
    <w:p>
      <w:r>
        <w:rPr>
          <w:b/>
        </w:rPr>
        <w:t>E. 6.4.3</w:t>
      </w:r>
    </w:p>
    <w:p>
      <w:r>
        <w:t>Soweit die Beschwerdeführenden rügen, die Vorinstanz habe die Echtheit der eingereichten Dokumente unter Verweis auf fehlende Sicher- heitsmerkmale und die allgemeine Käuflichkeit solcher Unterlagen zu Un- recht in Zweifel gezogen, ist festzuhalten, dass die Frage der Authentizität der Dokumente letztlich offenbleiben kann, zumal diese selbst bei Wahrun- terstellung ihrer Echtheit keine flüchtlingsrechtlich relevante Verfolgung zu begründen vermögen. Verfahren wegen Beleidigung des Staatspräsiden- ten werden in der Türkei zwar in grosser Zahl eingeleitet; nach ständiger Praxis des Bundesverwaltungsgerichts führen solche Verfahren bei Perso- nen, die – wie der Beschwerdeführer – kein besonderes politisches oder öffentliches Profil aufweisen, im Falle einer Verurteilung in der Regel indes nicht zu einer unbedingten Freiheitsstrafe, sondern zu Geldstrafen oder bedingten Strafen (vgl. statt vieler Urteil des BVGer E-6137/2024 vom 27. Mai 2025 E. 9.2 m.w.H.). Eine Strafverfolgung aufgrund allgemein- rechtlicher Delikte stellt grundsätzlich nur dann eine flüchtlingsrechtlich re- levante Verfolgung dar, wenn der Betroffene aus einem der in Art. 3 AsylG genannten Motive eine unverhältnismässig harte Strafe oder eine diskrimi- nierende Behandlung zu gewärtigen hätte. Objektive Anhaltspunkte dafür, dass der Beschwerdeführer aufgrund der ihm vorgeworfenen Äusserungen eine Behandlung zu erwarten hätte, die über die blosse strafrechtliche Ahn- dung hinausgeht und eine asylrelevante Intensität erreicht, sind jedoch we- der aus den Akten noch anderweitig ersichtlich.</w:t>
      </w:r>
    </w:p>
    <w:p>
      <w:r>
        <w:rPr>
          <w:b/>
        </w:rPr>
        <w:t>E. 6.4.4</w:t>
      </w:r>
    </w:p>
    <w:p>
      <w:r>
        <w:t>Auch die im vorinstanzlichen Wiedererwägungsverfahren bezie- hungsweise im Beschwerdeverfahren eingereichten Beweismittel ändern an dieser Einschätzung nichts. Vielmehr bestätigen sie, dass sich die Ver- fahren gegen den Beschwerdeführer lediglich im Ermittlungs- beziehungs- weise im frühen Anklagestadium befinden; ein rechtskräftiges Urteil liegt nicht vor. Die ins Recht gelegten Dokumente stellen instrumentelle Mass- nahmen zur Sicherstellung des Verfahrens dar und begründen für sich al- lein keine flüchtlingsrechtlich relevante Intensität der Verfolgung. Dass der Beschwerdeführer bei seiner Einreise theoretisch verhaftet oder im</w:t>
      </w:r>
    </w:p>
    <w:p>
      <w:r>
        <w:t>D-7960/2025 Seite 9 Anschluss an eine allfällige Einvernahme in Untersuchungshaft versetzt werden könnte und dort Folter oder unmenschlicher Behandlung ausge- setzt wäre, erscheint angesichts seines niederschwelligen Profils nicht be- achtlich wahrscheinlich (vgl. Referenzurteil des BVGer E-4103/2024 vom</w:t>
      </w:r>
    </w:p>
    <w:p>
      <w:r>
        <w:rPr>
          <w:b/>
        </w:rPr>
        <w:t>E. 6.5</w:t>
      </w:r>
    </w:p>
    <w:p>
      <w:r>
        <w:t>Zusammenfassend liegen keine konkreten Hinweise darauf vor, dass der Beschwerdeführer im Falle ihrer Rückkehr in die Türkei ernsthafte Nachteile im Sinne von Art. 3 AsylG zu gewärtigen hätte. Folglich hat die Vorinstanz Bestehen wiedererwägungsrechtlich erheblicher Beweismittel und Umstände zutreffend verneint und das Wiedererwägungsgesuch ab- gewiesen. 7. Lehnt das SEM das Asylgesuch ab oder tritt es darauf nicht ein, so verfügt es in der Regel die Wegweisung aus der Schweiz und ordnet den Vollzug an (Art. 44 AsylG). Die Beschwerdeführenden verfügen insbesondere we- der über eine ausländerrechtliche Aufenthaltsbewilligung noch über einen Anspruch auf Erteilung einer solchen. Die Wegweisung wurde demnach ebenfalls zu Recht angeordnet (vgl. BVGE 2013/37 E. 4.4; 2009/50 E. 9, je m.w.H.).</w:t>
      </w:r>
    </w:p>
    <w:p>
      <w:r>
        <w:rPr>
          <w:b/>
        </w:rPr>
        <w:t>E. 7</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November 2024 E. 8.1 und 8.4.4). Die blosse Furcht vor einer Fest- nahme zur Klärung des Sachverhalts genügt den Anforderungen an die Flüchtlingseigenschaft nicht.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den Beschwerdeführenden nicht gelungen ist, eine asylrechtlich er- hebliche Gefährdung glaubhaft zu machen, findet der in Art. 5 AsylG ver- ankerte Grundsatz der Nichtrückschiebung im vorliegenden Verfahren keine Anwendung. Eine Rückkehr der Beschwerdeführenden in den Hei- matstaat ist demnach unter dem Aspekt von Art. 5 AsylG rechtmässig. We- der ihre Aussagen noch die übrige Aktenlage lassen erkennen, dass ihnen im Falle einer Ausschaffung mit beachtlicher Wahrscheinlichkeit eine nach Art. 3 EMRK oder Art. 1 des Übereinkommens vom 10. Dezember 1984</w:t>
      </w:r>
    </w:p>
    <w:p>
      <w:r>
        <w:t>D-7960/2025 Seite 10 gegen Folter und andere grausame, unmenschliche oder erniedrigende Behandlung oder Strafe (FoK, SR 0.105) verbotenen Strafe oder Behand- lung drohen würde.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Die Beschwerdeführenden machen geltend, die Wegweisung sei für die Familie, insbesondere für die Kinder, aufgrund drohender Traumatisie- rung, drohendem Wohnungsverlust und der Integration in der Schweiz un- zumutbar. Das Gericht verkennt nicht, dass die Rückkehr für die Familie mit Schwierigkeiten verbunden sein mag. Jedoch hat sich das Bundesver- waltungsgericht bereits im rechtkräftigen Ausgangsverfahren mit der Zu- mutbarkeit des Wegweisungsvollzugs auseinandergesetzt und diese be- jaht; auf diese Ausführungen kann verwiesen werden (vgl. Urteil des BVGer D-7194/2023 vom 3. April 2024 E. 6.3 m.w.H.). In Fällen der grundsätzli- chen Zumutbarkeit ist die Unzumutbarkeit des Wegweisungsvollzugs im Übrigen nur dann anzunehmen, wenn konkrete, in der Person des Be- schwerdeführers liegende Gegebenheiten eine individuelle Gefährdung zu begründen vermögen (vgl. Urteil des BVGer D-4796/2019 vom 27. April 2020 E. 8.7). Solche sind vorliegend nicht ersichtlich und lassen sich auch aus den in der Beschwerde sowie den weiteren Rechtsmitteleingaben ge- schilderten Umständen (bevorstehende Wohnungsräumung in der Schweiz, schulische Integration der Kinder, Schlafstörungen) nicht ablei- ten, die primär integrationsrechtlicher Natur sind. Nach dem Gesagten er- 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D-7960/2025 Seite 11</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Angesichts des vorliegenden, direkten Entscheids in der Sache erweisen sich die Gesuche um Anordnung eines Vollzugsstopps als gegenstandslos.</w:t>
      </w:r>
    </w:p>
    <w:p>
      <w:r>
        <w:rPr>
          <w:b/>
        </w:rPr>
        <w:t>E. 11</w:t>
      </w:r>
    </w:p>
    <w:p>
      <w:r>
        <w:t>Bei diesem Verfahrensausgang sind die Kosten den Beschwerdeführen- den aufzuerlegen (Art. 63 Abs. 1 VwVG) und auf Fr. 2'000.– festzusetzen (Art. 1–3 des Reglements vom 21. Februar 2008 über die Kosten und Ent- schädigungen vor dem Bundesverwaltungsgericht [VGKE, SR 173.320.2]). Der in gleicher Höhe geleistete Kostenvorschuss wird für das Begleichen der Kosten verwendet.</w:t>
      </w:r>
    </w:p>
    <w:p>
      <w:r>
        <w:t>(Dispositiv nächste Seite)</w:t>
      </w:r>
    </w:p>
    <w:p>
      <w:r>
        <w:t>D-7960/2025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