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D-7956/2009 vom 14. April 2011</w:t>
      </w:r>
    </w:p>
    <w:p>
      <w:r>
        <w:t>Bundesverwaltungsgericht, 2011-04-14, DE</w:t>
      </w:r>
    </w:p>
    <w:p>
      <w:r>
        <w:rPr>
          <w:b/>
        </w:rPr>
        <w:t xml:space="preserve">Quelle: </w:t>
      </w:r>
      <w:r>
        <w:t>https://mcp.opencaselaw.ch/entscheid/bvger_D-7956_2009</w:t>
      </w:r>
    </w:p>
    <w:p>
      <w:r>
        <w:t>FR: TAF D-7956/2009 du 14 avril 2011</w:t>
      </w:r>
    </w:p>
    <w:p>
      <w:r>
        <w:t>IT: TAF D-7956/2009 del 14 aprile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frist- und formgerecht eingereicht; der Beschwerdefüh­rer hat am Verfahren vor der Vorinstanz teilgenommen, ist durch die an­gefochtene Verfügung besonders berührt, hat ein schutzwürdiges Interes­se an deren Aufhebung beziehungsweise Än­derung und ist daher zur Ein­reichung der Beschwerde legitimiert (Art. 108 AsylG sowie Art. 105 AsylG i.V.m. Art. 37 VGG und Art. 48 Abs. 1 und Art. 52 VwVG). Auf die Be­schwerde ist einzutreten.</w:t>
      </w:r>
    </w:p>
    <w:p>
      <w:r>
        <w:rPr>
          <w:b/>
        </w:rPr>
        <w:t>E. 3.1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In der Beschwerde wird vorweg ausgeführt, der Beschwerdeführer habe am (...) in L._______ eine schweizerische Staatsangehörige geheiratet. Sodann wird neu geltend gemacht, dass er im (...) seinen obligatorischen Militärdienst hätte ableisten müssen und dass er in der Türkei auf nationaler Ebene behördlich gesucht werde, weil er seine Dienstpflicht nicht erfüllt habe. Diesbezüglich wird die baldmögliche Nachreichung von Beweismitteln in Aussicht gestellt. Was die widersprüchlichen Angaben zu seinem letzten Wohnsitz anbelange, seien seine Aussagen anlässlich der Anhörung vom 21. Oktober 2009 zutreffend, während in Bezug auf die Erstbefragung deren summarischer Charakter und kurze Dauer zu berücksichtigen seien und auch ein Missverständnis nicht auszuschliessen sei. Die Angaben zum Verbleib des Reisepasses hätten keinen Bezug zu den geltend gemachten Fluchtgründen. Auch habe er diesen im Zusammenhang mit dem Ehevorbereitungsverfahren vorgelegt, wobei er das Dokument von einem in der Schweiz lebenden Bekannten überbracht erhalten habe, welcher im Lauf des Sommers die Eltern des Beschwerdeführers in der Türkei besucht habe. Es handle sich um den Reisepass, den er dem Schlepper bei seiner Ausreise in die Schweiz übergeben habe. Auch im Zusammenhang mit der geltend gemachten Verteilung von kurdischen Zeitschriften und der behördlichen Suche nach ihm im Heimatdorf seien zunächst der summarische Charakter und die kurze Dauer der Erstbefragung zu berücksichtigen. Immerhin habe der Beschwerdeführer dort zumindest seine Aktivitäten im Zusammenhang mit der DTP erwähnt; im Übrigen habe er sich bloss einige Male am Verteilen der fraglichen Zeitungen beteiligt und handle es sich dabei aus seiner Sicht um den entscheidenden Fluchtgrund. Er habe sein politisches Engagement von Anfang an relativiert. Gleichwohl sei davon auszugehen, dass die türkischen Behörden ein Verfolgungsinteresse an ihm hätten. Er sei bereits wegen seiner Flucht vor dem Militärdienst vorbelastet und werde noch nachweisen, dass er deshalb auf nationaler Ebene gesucht werde. Insgesamt vermöchten die vom BFM für die Unglaubhaftigkeit der Vorbringen des Beschwerdeführers vorgetragenen Argumente nicht zu überzeugen. Schliesslich treffe zu, dass die geltend gemachten Repressalien und Schikanen, die er als kurdischer Dorfbewohner in seiner Heimatregion erlitten habe, nach ständiger Praxis der schweizerischen Asylbehörden nicht als ernsthafte Nachteile im Sinne von Art. 3 Abs. 1 AsylG betrachtet würden. Indessen sei ein derart hohes Repressionsniveau, welches er seit seiner Kindheit habe erleben müssen, im Sinne einer Vorverfolgung zu berücksichtigen, welche das Beweismass für die Intensität der später geltend gemachten fluchtbegründenden Vorbringen deutlich herabsetze, namentlich auch im Zusammenhang mit dem noch nicht geleisteten Militärdienst (vgl. Beschwerde).</w:t>
      </w:r>
    </w:p>
    <w:p>
      <w:r>
        <w:rPr>
          <w:b/>
        </w:rPr>
        <w:t>E. 4.2</w:t>
      </w:r>
    </w:p>
    <w:p>
      <w:r>
        <w:t>Eine Überprüfung der Akten ergibt, dass sich die vorinstanzlichen Erwägungen, wonach sich die Darlegungen des Beschwerdeführers in zentralen Punkten unter anderem wegen dessen Aussagen zum Verbleib seines Reisepasses widersprechen, als zutreffend erweisen (vgl. Bst. C). Die Ausführun­gen in der Beschwerde sind nicht geeignet, daran etwas zu ändern, ebenso wenig der Einwand des Beschwerdeführers, wonach die Vorinstanz nicht angegeben habe, welche Fragen der Umstand, dass er den Reisepass erst anlässlich der Heiratsvorbereitungen vorgelegt habe, nach sich ziehe, weshalb das Argument in dieser Form weder nachvollziehbar noch widerlegbar sei (vgl. Stellungnahme vom 15. Februar 2010). So wird in der Beschwerde zugestanden, dass der Beschwerdeführer unterschiedliche Angaben zum Verbleib seines Reisepasses gemacht habe (vgl. Beschwerde). Zudem hat er durch sein Verhalten seine Mitwirkungsplicht verletzt, welche Asylsuchende verpflichtet, an der Feststellung des Sachverhalts mitzuwirken und insbesondere in der Empfangsstelle Reisepapiere und Identitätsausweise abzugeben (Art. 8 Abs. 1 Bst. b AsylG). Sein widersprüchliches Aussageverhalten in Kombination mit der Verletzung seiner Mitwirkungspflicht und dem Umstand, dass er den Reisepass den hiesigen Behörden einzig deshalb nicht weiter vorenthalten konnte, weil er zu dessen Vorlage im Zusammenhang mit den Ehevorbereitungen mit einer schweizerischen Staatsangehörigen gezwungen war, lässt darauf schliessen, dass das von ihm gewählte Vorgehen vor der Heirat darauf ausgerichtet war, einen allfälligen Wegweisungsvollzug zu verhindern oder zu erschweren. Insoweit trifft auch der Einwand in der Beschwerde nicht zu, wonach die Angaben des Beschwerdeführers zum Verbleib seines Reisepasses keinen Bezug zu den von ihm genannten Fluchtgründen hätten, entstehen beziehungsweise verfestigen sich doch gerade durch sein erwähntes Vorgehen erhebliche Zweifel an den geltend gemachten Fluchtgründen.</w:t>
      </w:r>
    </w:p>
    <w:p>
      <w:r>
        <w:rPr>
          <w:b/>
        </w:rPr>
        <w:t>E. 4.3</w:t>
      </w:r>
    </w:p>
    <w:p>
      <w:r>
        <w:t>In Bezug auf die Frage des Aufenthaltsorts und der Aufenthaltsdauer des Beschwerdeführers im Zeitraum von der Rückkehr aus F._______ bis zur Ausreise in die Schweiz erweisen sich die vorinstanzlichen Erwägungen nach einer Überprüfung der Akten ebenfalls als zutreffend, woran weder die Ausführungen in der Beschwerde noch der Einwand etwas zu ändern vermögen, wonach diesbezüglich der Unterschied zwischen (Melde-) Wohnsitz und Aufenthaltsort zu berücksichtigen sei (vgl. Stellungnahme vom 15. Februar 2010). Selbst in Anwendung dieser Unterscheidung und wenn es sich bei dem vom Beschwerdeführer anlässlich der Erstbefragung als letzten Wohnsitz vor der Ausreise genannten Dorf D._______ um seinen letzten formellen Wohnsitz, d.h. den Ort, wo er angemeldet war, handeln würde, liessen sich dadurch seine widersprüchlichen Aussagen in Bezug auf den Beginn und die Dauer seines Aufenthalts in H._______ nach der Rückkehr aus F._______ nicht plausibel erklären.</w:t>
      </w:r>
    </w:p>
    <w:p>
      <w:r>
        <w:rPr>
          <w:b/>
        </w:rPr>
        <w:t>E. 4.4</w:t>
      </w:r>
    </w:p>
    <w:p>
      <w:r>
        <w:t>Entgegen den Ausführungen in der Beschwerde vermag der Beschwerdeführer aus dem summarischen Charakter der Erstbefragung und deren kurzer Dauer nichts zu seinen Gunsten abzuleiten; auch Hinweise dafür, dass es damals zu Missverständnissen gekommen sei, lassen sich den Akten nicht entnehmen. So hat er die von ihm geltend gemachten politischen Aktivitäten in H._______ anlässlich der freien Schilderung der Gründe, welche ihn zum Verlassen der Türkei und zur Reise in die Schweiz geführt haben, mit keinem Wort erwähnt. Erst als nach weiteren Fragen danach gefragt wurde, ob er nun alle Ausreisegründe genannt habe, erwähnte er einzig den Vorfall im Zusammenhang mit der Protestkundgebung vom (...)in H._______. Ebenso wenig hat er anlässlich der Erstbefragung seine angebliche Unterstützung der DTP und das Verteilen von teilweise illegalen Zeitungen und Zeitschriften erwähnt, was umso weniger nachvollziehbar ist, als es sich bei Letzterem gemäss den Ausführungen in der Beschwerde um den entscheidenden Fluchtgrund gehandelt haben soll (vgl. Beschwerde). Im Übrigen geht das Bundesverwaltungsgericht mit der Vorinstanz darin einig, dass der Beschwerdeführer anlässlich der Erstbefragung mehrfach Gelegenheit gehabt hat, dieses aus seiner Sicht entscheidende Vorbringen darzulegen.</w:t>
      </w:r>
    </w:p>
    <w:p>
      <w:r>
        <w:rPr>
          <w:b/>
        </w:rPr>
        <w:t>E. 4.5</w:t>
      </w:r>
    </w:p>
    <w:p>
      <w:r>
        <w:t>Was das erstmals in der Beschwerde dargelegte Vorbringen anbelangt, der Beschwerdeführer hätte im (...) den Militärdienst ableisten müssen und dies nicht getan, weshalb davon auszugehen sei, dass er sich seit seiner Rückkehr in die Türkei der Dienstpflicht entzogen und sich dabei zu seinem Schutz unter der Identität seines Bruders Ibrahim bewegt habe (vgl. Beschwerde), ist Folgendes festzuhalten: Eine allfällige Bestrafung des Beschwerdeführers aus militärrechtlichen Grün­den wäre gestützt auf die bisherige Praxis der ARK, welche vom Bun­desverwaltungsgericht weitergeführt wird, nur unter bestimmten Voraus­setzungen relevant (vgl. Entscheidungen und Mitteilungen der Schwei­zerischen Asylrekurskommission [EMARK] 2004 Nr. 2). Dies ist dann der Fall, wenn der Beschwerdeführer damit zu rechnen hätte, dass er aus flüchtlingsrechtlich relevanten Motiven mit einer unverhältnismässig strengen Bestrafung zu rechnen hätte, sei es, weil er aufgrund der im AsylG erwähnten Kriterien eine höhere Strafe zu verbüssen hätte oder weil mit der drohenden Strafe nicht nur die Sicherstellung der Wehrpflicht ga­rantiert, sondern zusätzlich die vermutete oppositionelle und staatsfeind­liche Gesinnung sanktioniert werden sollte. Eine flüchtlingsrechtlich re­levante Verfolgung wäre auch dann zu bejahen, wenn mit der Absolvierung des Militärdienstes beabsichtigt würde, gewisse Personen oder Perso­nengruppen aus flüchtlingsrechtlich erheblichen Motiven zu disziplinieren, einzuschüchtern, zu assimilieren oder einer menschenrechtswidrigen Be­handlung auszusetzen. Als politische Verfolgung schliesslich müsste die Bestrafung einer militärdienstflüchtigen Person erachtet werden, wenn die Armee, der sie sich entzieht, völkerrechtswidrige Ziele anstrebte oder ent­sprechende Mittel einsetzte (vgl. EMARK 2004 Nr. 2 E. 6.b.aa S. 17). Gestützt auf die Aktenlage ist vorliegend selbst im Fall einer Bestrafung des Beschwerdeführers aus militärrechtlichen Gründen nicht von einer der erwähnten Ausnahmen auszugehen. So haben sich seine auf einer an­geblichen Unterstützung der DTP beruhenden Verfolgungsvorbringen als unglaubhaft erwiesen. Zudem ist aus dem Strafrahmen von Art. 63 des türkischen Militärstrafgesetzbuches, welcher eine Höchststrafe von drei Jahren Gefängnis vorsieht, nicht auf eine Sanktionierung zu schliessen, welche neben der militärrechtlichen Gesetzesverletzung auch die Ge­sinnung treffen will. Zudem ist der Militärdienst in der Türkei für alle er­wach­senen Männer obligatorisch und zielt nicht darauf ab, gewisse Per­so­nen oder Personengruppen in der zuvor beschriebenen Art zu behan­deln. Überdies bestehen trotz des angeblich familiären politischen Hin­ter­grunds des Beschwerdeführers keine Hinweise auf einen Malus oder ande­re drohende, aus Art. 3 AsylG fliessende Nachteile. Die vom Be­schwer­de­führer allenfalls zu gewärtigenden Sanktionen vermögen somit nicht zur Anerkennung der Flüchtlingseigenschaft zu führen, da alle wehr­pflich­ti­gen Männer aufgrund ihrer türkischen Staatsangehörigkeit und ihres Jahr­gangs zum Militärdienst aufgeboten werden und dieser Ver­pflichtung kei­ne asylrechtlich relevante Verfolgungsabsicht des Staates zugrunde liegt. Nach Erkenntnissen des Bundesverwaltungsgerichts wer­den die Re­kruten nach dem Zufallsprinzip per Computer den verschie­denen Einhei­ten zugeteilt. Schliesslich wäre auch nicht mit einem Ein­satz im Ausnah­mezustandsgebiet zu rechnen, zumal der ehemals ver­häng­te Ausnah­me­zustand in der Türkei schon seit einiger Zeit in allen Ge­bieten aufgeho­ben worden ist. Unter den erwähnten Umständen wäre eine allfällige Bestra­fung des Beschwerdeführers wegen Militärdienstverwei­gerung vorliegend als legitime staatliche Massnahme zur Durchsetzung einer staatsbür­gerlichen Pflicht und damit als asylrechtlich nicht rele­vant zu charakteri­sieren.</w:t>
      </w:r>
    </w:p>
    <w:p>
      <w:r>
        <w:rPr>
          <w:b/>
        </w:rPr>
        <w:t>E. 4.6</w:t>
      </w:r>
    </w:p>
    <w:p>
      <w:r>
        <w:t>Nach dem Gesagten erweisen sich die vom Beschwerdeführer geltend gemachten Verfolgungsvorbringen zum einen als nicht glaubhaft und zum andern als asyl- beziehungsweise flüchtlingsrechtlich nicht relevant. Auf­grund der vorstehenden Erwägungen erübrigt es sich, auf die weiteren Aus­führungen in der Beschwerde, die übrigen Eingaben und die Beweismit­tel einzugehen, weil sie am Ergebnis nichts ändern können. Das BFM hat das Asylgesuch des Beschwerdeführers demnach zu Recht abgelehnt.</w:t>
      </w:r>
    </w:p>
    <w:p>
      <w:r>
        <w:rPr>
          <w:b/>
        </w:rPr>
        <w:t>E. 5</w:t>
      </w:r>
    </w:p>
    <w:p>
      <w:r>
        <w:t>Lehnt das Bundesamt das Asylgesuch ab oder tritt es darauf nicht ein, so ver­fügt es in der Regel die Wegweisung aus der Schweiz und ordnet den Voll­zug an; es berücksichtigt dabei den Grundsatz der Einheit der Familie (Art. 44 Abs. 1 AsylG). Der Beschwerdeführer verfügt weder über eine fremdenpolizeiliche Aufenthaltsbewilligung noch einen Anspruch auf Erteilung einer sol­chen. Die eheliche Gemeinschaft mit der schweizerischen Staatsangehörigen besteht offensichtlich seit längerer Zeit nicht mehr. Die Wegweisung wurde demnach zu Recht angeordnet (Art. 44 Abs. 1 AsylG. vgl. Entscheide des Schweizerischen Bundesverwaltungs­gerichts [BVGE] 2009/50 E. 9 S. 733 mit weiteren Hinweisen).</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Der Vollzug ist nicht zulässig, wenn völkerrechtliche Verpflichtun­gen der Schweiz einer Weiterreise der Ausländerin oder des Auslän­ders in den Heimat-, Herkunfts- oder in einen Drittstaat entgegenste­hen (Art. 83 Abs. 3 AuG).</w:t>
      </w:r>
    </w:p>
    <w:p>
      <w:r>
        <w:rPr>
          <w:b/>
        </w:rPr>
        <w:t>E. 6.2.1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6.2.2</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seinen Heimatstaat ist dem­nach un­ter dem Aspekt von Art. 5 AsylG rechtmässig.</w:t>
      </w:r>
    </w:p>
    <w:p>
      <w:r>
        <w:rPr>
          <w:b/>
        </w:rPr>
        <w:t>E. 6.2.3</w:t>
      </w:r>
    </w:p>
    <w:p>
      <w:r>
        <w:t>Sodann ergeben sich weder aus den Aussagen des Beschwer­de­führers noch aus den Akten Anhaltspunkte dafür, dass er für den Fall einer Ausschaffung in seinen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Bensaid gegen Grossbritannien, Urteil vom 6. Februar 2001, Re­cueil des arrêts et décisions 2001-I, S. 327 ff.). Auch die allgemeine Men­schenrechtssituation in seinem Heimatstaat lässt den Wegweisungsvollzug zum heutigen Zeitpunkt klarerweise nicht als unzulässig er­scheinen.</w:t>
      </w:r>
    </w:p>
    <w:p>
      <w:r>
        <w:rPr>
          <w:b/>
        </w:rPr>
        <w:t>E. 6.2.4</w:t>
      </w:r>
    </w:p>
    <w:p>
      <w:r>
        <w:t>Nach dem Gesagten ist der Vollzug der Wegweisung sowohl im Sinne der asyl- als auch der völkerrechtlichen Bestimmungen zulässig.</w:t>
      </w:r>
    </w:p>
    <w:p>
      <w:r>
        <w:rPr>
          <w:b/>
        </w:rPr>
        <w:t>E. 6.3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Weder die allgemeine Lage in der Türkei noch die persönliche Situati­on des Beschwerdeführers lassen auf eine konkrete Gefährdung schlies­sen. Angesichts der heutigen Lage in der Türkei kann nicht von einer Situation allgemeiner Gewalt oder von kriegerischen oder bür­ger­kriegs­ähnlichen Verhältnissen gesprochen werden, welche für den Be­schwer­deführer bei einer Rückkehr eine konkrete Gefährdung dar­stel­len würden. Sodann bestehen auch keine anderen Hinweise, dass der noch junge Be­schwerdeführer, welcher, soweit aktenkundig, an keinen schwerwiegenden gesundheitlichen Beeinträchtigungen leidet, bei einer Rückkehr in den Heimatstaat in eine kon­kre­te, seine Existenz bedrohende Situation geraten könnte. Er be­sitzt in der Türkei, wo mehrere seiner nächsten Familienangehörigen wohnhaft sind, ein fa­mi­li­ä­res Bezie­hungsnetz. Zudem hat er (...) absolviert und in der Folge (...) abgebrochen. Nebst seiner kurdischen Muttersprache spricht er auch (...) und war im familieneigenen Landwirtschaftbetrieb erwerbstätig. Angesichts der gesamten Umstände kann der Vollzug der Wegweisung - entgegen der in der Rechtsmitteleingabe vertrete­nen Auffassung - auch als zumutbar bezeichnet werden.</w:t>
      </w:r>
    </w:p>
    <w:p>
      <w:r>
        <w:rPr>
          <w:b/>
        </w:rPr>
        <w:t>E. 6.4</w:t>
      </w:r>
    </w:p>
    <w:p>
      <w:r>
        <w:t>Die bisherigen Bestimmungen betreffend vorläufige Aufnahme in­folge einer schwerwiegenden persönlichen Notlage (Art. 14a Abs. 4bis ANAG i.V.m. Art. 44 Abs. 3-5 AsylG) wurden mit der Änderung des Asylgesetzes vom 16. Dezember 2005 aufgehoben. Gleichzeitig mit der Aufhebung der Bestimmungen über die vorläufige Aufnahme im Falle einer schwerwiegenden persönlichen Notlage trat auf den 1. Ja­nuar 2007 eine neue Härtefallregelung in Kraft. Gemäss Art. 14 Abs. 2 AsylG haben neu die Kantone die Möglichkeit, bei "Vorliegen eines schwerwiegenden persönlichen Härtefalles" unter bestimmten weite­ren Voraussetzungen eine Aufenthaltsbewilligung zu erteilen. In casu wurde durch den zuständigen Kanton kein Antrag auf Erteilung einer Aufenthaltsbewilligung gestellt.</w:t>
      </w:r>
    </w:p>
    <w:p>
      <w:r>
        <w:rPr>
          <w:b/>
        </w:rPr>
        <w:t>E. 6.5</w:t>
      </w:r>
    </w:p>
    <w:p>
      <w:r>
        <w:t>Schliesslich obliegt es dem Beschwerdeführer, sich bei der zu­ständi­gen Vertretung seines Heimatstaates die für eine Rückkehr not­wen­di­gen Reisedokumente zu beschaffen (Art. 8 Abs. 4 AsylG und dazu auch BVGE 2008/34 E. 12 S. 513ff.), wes­halb der Vollzug der Wegweisung auch als möglich zu bezeichnen ist (Art. 83 Abs. 2 AuG).</w:t>
      </w:r>
    </w:p>
    <w:p>
      <w:r>
        <w:rPr>
          <w:b/>
        </w:rPr>
        <w:t>E. 6.6</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 Bei diesem Ausgang des Verfahrens sind die Kosten auf Fr. 600.- fest­zu­setzen (vgl. Art. 1 - 3 des Reglements vom 21. Februar 2008 über die Kos­ten und Ent­schädigungen vor dem Bundesverwaltungsge­richt [VGKE, SR 173.320.2]) und dem Beschwerdeführer aufzuerlegen (Art. 63 Abs. 1 und 5 VwVG). Sie sind mit dem am 14. Januar 2010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