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D-7955/2008 vom 30. März 2009</w:t>
      </w:r>
    </w:p>
    <w:p>
      <w:r>
        <w:t>Bundesverwaltungsgericht, 2009-03-30, DE</w:t>
      </w:r>
    </w:p>
    <w:p>
      <w:r>
        <w:rPr>
          <w:b/>
        </w:rPr>
        <w:t xml:space="preserve">Quelle: </w:t>
      </w:r>
      <w:r>
        <w:t>https://mcp.opencaselaw.ch/entscheid/bvger_D-7955_2008</w:t>
      </w:r>
    </w:p>
    <w:p>
      <w:r>
        <w:t>FR: TAF D-7955/2008 du 30 mars 2009</w:t>
      </w:r>
    </w:p>
    <w:p>
      <w:r>
        <w:t>IT: TAF D-7955/2008 del 30 marzo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w:t>
      </w:r>
    </w:p>
    <w:p>
      <w:r>
        <w:t>Es ist festzuhalten, dass sich die vorliegende Beschwerde nur gegen den von der Vorinstanz verfügten Wegweisungsvollzug richtet. Damit ist die Verfügung des BFM vom 10. November 2008, soweit sie die Verneinung der Flüchtlingseigenschaft, die Verweigerung des Asyls sowie die angeordnete Wegweisung betrifft (Ziffn. 1, 2 und 3 des Dispositivs der angefochtenen Verfügung), in Rechtskraft erwachsen. Gegenstand des vorliegenden Verfahrens bildet somit lediglich die Frage, ob die vom BFM angeordnete Wegweisung zu vollziehen ist oder ob an Stelle des Vollzugs eine vorläufige Aufnahme anzuordnen ist. Hinsichtlich der die Glaubhaftigkeit der Vorbringen betreffenden Ausführungen in der Beschwerdeschrift wird daher - soweit entscheidrelevant - auf die zutreffenden Erwägungen in der angefochtenen Verfügung verwiesen.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Da in casu die Ablehnung des Asylgesuchs nicht angefochten worden und demnach in Rechtskraft erwachsen ist, kann das in Art. 5 AsylG verankerte Prinzip des flüchtlingsrechtlichen Non-Refoulements im vorliegenden Verfahren keine Anwendung finden. Eine Rückkehr der Beschwerdeführerin in den Heimatstaat ist demnach unter dem Aspekt von Art. 5 AsylG rechtmässig.</w:t>
      </w:r>
    </w:p>
    <w:p>
      <w:r>
        <w:rPr>
          <w:b/>
        </w:rPr>
        <w:t>E. 5.1.3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Äthiopien lässt den Wegweisungsvollzug zum heutigen Zeitpunkt nicht als unzulässig erscheinen.</w:t>
      </w:r>
    </w:p>
    <w:p>
      <w:r>
        <w:rPr>
          <w:b/>
        </w:rPr>
        <w:t>E. 5.1.4</w:t>
      </w:r>
    </w:p>
    <w:p>
      <w:r>
        <w:t>Nach dem Gesagten ist der Vollzug der Wegweisung sowohl im Sinne der asyl- als auch der völkerrechtlichen Bestimmungen zulässig.</w:t>
      </w:r>
    </w:p>
    <w:p>
      <w:r>
        <w:rPr>
          <w:b/>
        </w:rPr>
        <w:t>E. 5.2.1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Die Vorinstanz führte in ihrer Verfügung zur Zumutbarkeit des Vollzugs der Wegweisung aus, dass Äthiopien am 12. Dezember 2000 mit Eritrea ein Friedensabkommen unterzeichnet habe. Seit dem Waffenstillstand vom Juni 2000 hätten beide Länder trotz sporadischem Wiederaufflackern des Grenzkonfliktes darauf verzichtet, ihre unterschiedlichen Standpunkte mit militärischer Gewalt durchzusetzen. In Äthiopien herrsche heute weder Krieg noch Bürgerkrieg noch eine Situation der allgemeinen Gewalt im Sinne von Art. 83 Abs. 4 AuG. Dem BFM sei es nicht möglich, sich in voller Kenntnis der tatsächlichen persönlichen und familiären Situation der Beschwerdeführerin zur Zumutbarkeit des Wegweisungsvollzugs zu äussern, zumal die Beschwerdeführerin unglaubhafte Angaben gemacht und auch keinerlei Ausweispapiere, welche ihre Identität belegen würden, eingereicht habe. Aus den Akten würden sich darüber hinaus keine individuellen Gründe ergeben, welche den Wegweisungsvollzug der Beschwerdeführerin nach Äthiopien als unzumutbar erscheinen liessen.</w:t>
      </w:r>
    </w:p>
    <w:p>
      <w:r>
        <w:rPr>
          <w:b/>
        </w:rPr>
        <w:t>E. 5.2.3</w:t>
      </w:r>
    </w:p>
    <w:p>
      <w:r>
        <w:t>In der Rechtsmitteleingabe hielt die Beschwerdeführerin im Wesentlichen an der Glaubhaftigkeit ihrer Vorbringen fest. Im Weiteren machte sie geltend, sie habe keine Möglichkeit, nach Äthiopien zurückzukehren, da sie von eritreischen Eltern abstamme. Sie habe sich auf der Liste derjenigen Personen befunden, welche zwangsausgewiesen worden seien. Deshalb sei eine Rückkehr nach Äthiopien ausgeschlossen. Ihre Mutter lebe seit der Zwangsausweisung in Eritrea. Die Beschwerdeführerin selber habe keinerlei Bezugspunkte zu Eritrea, zumal sie dort nie gelebt habe. Infolgedessen sei die vorläufige Aufnahme anzuordnen.</w:t>
      </w:r>
    </w:p>
    <w:p>
      <w:r>
        <w:rPr>
          <w:b/>
        </w:rPr>
        <w:t>E. 5.2.4</w:t>
      </w:r>
    </w:p>
    <w:p>
      <w:r>
        <w:t>Angesichts der realitätsfremden Aussagen der Beschwerdeführerin zur Aberkennung ihrer äthiopischen Staatsangehörigkeit sowie zur Ausschaffungsliste (vgl. Bst. B.b.a) ist davon auszugehen, dass sie Staatsangehörige von Äthiopien ist. 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Bei einer Gesamtwürdigung der aktuellen Situation in Äthiopien bestehen keine Hinweise darauf, dass die Beschwerdeführerin, welche eigenen Angaben zufolge die Schule besuchte, in Äthiopien einer konkreten Gefährdung im Sinne von Art. 83 Abs. 4 AuG ausgesetzt sein könnte. Es ist ihr zumutbar, sich erneut in ihrem Heimatland niederzulassen und dort eine neue Existenz aufzubauen. Darüber hinaus ist davon auszugehen, dass die junge (27 Jahre) und gemäss Akten gesunde Beschwerdeführerin in ihrer Heimat eine Arbeit finden kann, zumal sie bis zur Ausreise im Restaurant ihrer Mutter arbeitete und während mehrerer Jahre als Haushälterin tätig war. Ausserdem verfügt sie in ihrem Heimatland über ein familiäres Beziehungsnetz, zumal ihre Halbschwester in Äthiopien lebt und davon ausgegangen werden kann, dass sich auch ihre Mutter nach wie vor dort aufhält (vgl. Bst. B.b.a). Die Rückkehrhilfe der Schweiz wird ihr den Wiedereinstieg in ihrer Heimat ebenfalls erleichtern können (Art. 74 der Asylverordnung 2 vom 11. August 1999 über Finanzierungsfragen [AsylV 2, SR 142.312]). Im Übrigen sind keine weiteren persönlichen Gründe ersichtlich, aufgrund derer unter Umständen geschlossen werden könnte, die Beschwerdeführerin gerate im Falle der Rückkehr in eine existenzbedrohende Situation, weshalb der Vollzug der Wegweisung - in Übereinstimmung mit der Vorinstanz - auch diesbezüglich als zumutbar zu bezeichnen ist. An dieser Stelle ist festzuhalten, dass sich in casu zusätzliche Abklärungen zur Feststellung allfälliger Wegweisungsvollzugshindernisse erübrigen, umso mehr, als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Vorliegend ist die Beschwerdeführerin ihrer Mitwirkungs- und Wahrheitspflicht nicht nachgekommen, da ihre Vorbringen insgesamt als unglaubhaft zu qualifizieren sind (vgl. dazu die angefochtene Verfügung) und sie keinerlei Ausweispapiere einreichte, die ihre Identität beweisen würden. Infolgedessen kann es bei fehlenden Hinweisen seitens der Beschwerdeführerin nicht Aufgabe der Asylbehörden sein, näher nach allfälligen weiteren Wegweisungshindernissen in ihrem Heimatland zu forschen. Bei dieser Sachlage erübrigt es sich, auf die Ausführungen in der Beschwerdeschrift und die als Beweismittel eingereichten Unterlagen im Einzelnen einzugehen, zumal diese insgesamt nicht zu einem anderen Entscheid zu führen vermögen.</w:t>
      </w:r>
    </w:p>
    <w:p>
      <w:r>
        <w:rPr>
          <w:b/>
        </w:rPr>
        <w:t>E. 5.3</w:t>
      </w:r>
    </w:p>
    <w:p>
      <w:r>
        <w:t>Schliesslich obliegt es der Beschwerdeführerin, sich bei der zuständigen Vertretung des Heimatstaates die für eine Rückkehr notwendigen Reisedokumente zu beschaffen (Art. 8 Abs. 4 AsylG). Ausserdem erhalten abgewiesene äthiopische Beschwerde führende Personen seitens der zuständigen Vertretung ein Laissez-passer. Infolgedessen ist der Vollzug der Wegweisung auch als möglich zu bezeichnen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der Beschwerdeführerin aufzuerlegen (Art. 63 Abs. 1 und 5 VwVG), auf insgesamt Fr. 600.-- festzusetzen (Art. 16 Abs. 1 Bst. a VGG i.V.m. Art. 1-3 des Reglements vom 21. Februar 2008 über die Kosten und Entschädigungen vor dem Bundesverwaltungsgericht [VGKE, SR 173.320.2]) und mit dem am 27. Januar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