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D-7942/2025 vom 5. November 2025</w:t>
      </w:r>
    </w:p>
    <w:p>
      <w:r>
        <w:t>Bundesverwaltungsgericht, 2025-11-05, DE</w:t>
      </w:r>
    </w:p>
    <w:p>
      <w:r>
        <w:rPr>
          <w:b/>
        </w:rPr>
        <w:t xml:space="preserve">Quelle: </w:t>
      </w:r>
      <w:r>
        <w:t>https://mcp.opencaselaw.ch/entscheid/bvger_D-7942_2025</w:t>
      </w:r>
    </w:p>
    <w:p>
      <w:r>
        <w:t>FR: TAF D-7942/2025 du 5 novembre 2025</w:t>
      </w:r>
    </w:p>
    <w:p>
      <w:r>
        <w:t>IT: TAF D-7942/2025 del 5 novembre 2025</w:t>
      </w:r>
    </w:p>
    <w:p>
      <w:pPr>
        <w:pStyle w:val="Heading2"/>
      </w:pPr>
      <w:r>
        <w:t>Regeste</w:t>
      </w:r>
    </w:p>
    <w:p>
      <w:r>
        <w:t>Asyl und Wegweisung (beschleunigtes Verfahren)</w:t>
      </w:r>
    </w:p>
    <w:p>
      <w:pPr>
        <w:pStyle w:val="Heading2"/>
      </w:pPr>
      <w:r>
        <w:t>Erwägungen</w:t>
      </w:r>
    </w:p>
    <w:p>
      <w:r>
        <w:rPr>
          <w:b/>
        </w:rPr>
        <w:t>E. 25</w:t>
      </w:r>
    </w:p>
    <w:p>
      <w:r>
        <w:t>September 2025 S. 5 m.w.H.), dass darüber hinaus davon auszugehen ist, dass die ihn angeblich bedro- henden Familienangehörigen nicht über landesweite Strukturen verfügen und ihm daher auch eine zumutbare innerstaatliche Schutzalternative in anderen Teilen seines Heimatstaates offensteht, dass dem Beschwerdeführer auch zuzumuten ist, im Bedarfsfall den Schutz seines Heimatstaates vor nichtstaatlicher Verfolgung auszuschöp- fen,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einen Anspruch auf Erteilung eines solchen verfügt (Art. 44 [ers- 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w:t>
      </w:r>
    </w:p>
    <w:p>
      <w:r>
        <w:t>D-7942/2025 Seite 6 Anhaltspunkte für eine in der Heimat drohende menschenrechtswidrige Behandlung (im Sinne von Art. 3 EMRK) ersichtlich sind, dass gemäss konstanter Praxis des Bundesverwaltungsgerichts in der ge- samten Türkei nicht von einer Situation allgemeiner Gewalt oder bürger- kriegsähnlichen Verhältnissen auszugehen ist, dies auch nicht für Angehö- rige der kurdischen Ethnie (vgl. statt vieler Urteile des BVGer E-4459/2025 vom 14. Juli 2025 E.9.3.2; Referenzurteil des BVGer E-4103/2024 vom 8. November 2024 E. 13.2), dass hinsichtlich der Zumutbarkeit des Wegweisungsvollzugs im Übrigen vollumfänglich auf die zutreffenden Ausführungen in der angefochtenen Verfügung verwiesen werden kann (vgl. A24/10 S. 7 f.), welchen der Be- schwerdeführer in der Rechtsmitteleingabe nichts Substantielles entge- gensetzt,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1’000.– zu bestimmen sind – aufzuerlegen sind (Art. 63 Abs. 1 VwVG; Art. 1–3 des Reglements vom 21. Februar 2008 über die Kosten und Entschädigungen vor dem Bundesverwaltungsgericht [VGKE, SR 173.320.2]). (Dispositiv nächste Seite)</w:t>
      </w:r>
    </w:p>
    <w:p>
      <w:r>
        <w:t>D-7942/2025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