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D-7938/2009 vom 1. Juli 2011</w:t>
      </w:r>
    </w:p>
    <w:p>
      <w:r>
        <w:t>Bundesverwaltungsgericht, 2011-07-01, DE</w:t>
      </w:r>
    </w:p>
    <w:p>
      <w:r>
        <w:rPr>
          <w:b/>
        </w:rPr>
        <w:t xml:space="preserve">Quelle: </w:t>
      </w:r>
      <w:r>
        <w:t>https://mcp.opencaselaw.ch/entscheid/bvger_D-7938_2009</w:t>
      </w:r>
    </w:p>
    <w:p>
      <w:r>
        <w:t>FR: TAF D-7938/2009 du 1 juillet 2011</w:t>
      </w:r>
    </w:p>
    <w:p>
      <w:r>
        <w:t>IT: TAF D-7938/2009 del 1 luglio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Beschwerde wird geltend gemacht, namentlich die Beschwerde­führerin stehe wegen ihrer Kinderlosigkeit und der damit verbun­denen Stigmatisierung unter einem unerträglichem psychischem Druck. Die Beschwerdeführenden seien von der afghanischen Gesell­schaft ausgestossen worden. Die Mutter des Beschwerdeführers habe ver­sucht, die Ehe rückgängig zu machen. Die Beschwerdeführerin ris­kiere ihre Isolierung.</w:t>
      </w:r>
    </w:p>
    <w:p>
      <w:r>
        <w:rPr>
          <w:b/>
        </w:rPr>
        <w:t>E. 4.2</w:t>
      </w:r>
    </w:p>
    <w:p>
      <w:r>
        <w:t>Es ist somit zu prüfen, ob die Verhaltensweisen der Angehörigen der Beschwerdeführenden Massnahmen darstellen, welche den Betroffenen ein Verbleiben im Heimatstaat beziehungsweise Herkunftsstaat unter men­schenwürdigen Bedingungen objektiv verunmöglichen. Bereits die erfor­derliche Intensität einer solchen Zwangslage als Beeinträchtigung im Sinne von Art. 3 Abs. 2 AsylG ist vorliegend indes nicht gegeben. So ver­weist das BFM zu Recht auf die Tatsache, dass der Beschwerdeführer trotz versuchter Einflussnahme seiner Mutter nach wie vor auf der Seite sei­ner Frau stehe und gewillt sei, sie zu unterstützen. Dass er selbst bezie­hungsweise zusammen mit seiner Gattin wegen seiner Weige­rung, die Ehe zu beenden, im Sinne der Beschwerdevorbringen aus der af­ghanischen Gesellschaft ausgestossen worden wäre, macht er nicht gel­tend und lässt sich auch den Akten nicht entnehmen. Die Beschwerdefüh­rerin hatte wegen der Kinderlosigkeit im Übrigen - wenn auch offenbar ohne Behandlungserfolg - Zugang zu vielen Ärzten im Iran (A 11/7 Antworten 24 ff.). Entsprechend ist nicht von einem unerträglichen psychischen Druck der Beschwerdeführenden auszugehen.</w:t>
      </w:r>
    </w:p>
    <w:p>
      <w:r>
        <w:rPr>
          <w:b/>
        </w:rPr>
        <w:t>E. 4.3</w:t>
      </w:r>
    </w:p>
    <w:p>
      <w:r>
        <w:t>Vorauszuschicken ist, dass eine Verfolgungssituation praxisgemäss allein in Bezug auf den Heimatstaat, vorliegend Afghanistan, bestehen kann. Die Situation im Iran ist flüchtlingsrechtlich grundsätzlich irrelevant; der Ausdruck in Art. 3 Abs. 1 AsylG "im Land, in dem sie zuletzt wohnten" bezieht sich grundsätzlich nur auf staatenlose Personen (vgl. W. Kälin, Grundriss des Asylverfahrens, Basel und Frankfurt am Main, 1990, S. 35). Ob diese Praxis nach dem Wechsel zur Schutztheorie allenfalls zu überdenken wäre, falls sich der Vollzug der Wegweisung in den Heimatstaat als unzumutbar oder unzulässig erweisen würde, kann vorliegend offen bleiben, zumal die erlebten Nachteile im Iran ohnehin mangels Verfolgungsintensität keine Asylrelevanz zu entfalten vermöchten. Der Beschwerdeführer verweist im Weiteren zwar zurecht auf die ange­spannte Situation in seinem Heimatland Afghanistan. Eine drohende zielge­richtete Verfolgung nach der Rückkehr im Sinne ernsthafter Nachteile kann seinen Aussagen indes nicht entnommen werden. Eine sol­che wird im Übrigen auch in der Beschwerde nicht geltend gemacht.</w:t>
      </w:r>
    </w:p>
    <w:p>
      <w:r>
        <w:rPr>
          <w:b/>
        </w:rPr>
        <w:t>E. 4.4</w:t>
      </w:r>
    </w:p>
    <w:p>
      <w:r>
        <w:t>Unter Berücksichtigung der gesamten Umstände folgt, dass die Flucht­gründe der Beschwerdeführenden keine Asylrelevanz aufweisen. Die Vorinstanz hat die Flüchtlingseigen­schaft dem­nach zu Recht verneint und die Asylgesuche abgelehnt. An dieser Einschät­zung vermögen weder die weiteren Ausführungen in der Eingabe noch die beigelegten Beweismit­tel etwas zu ändern.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sind nicht im Besitz einer ausländerrechtli­chen Aufenthaltsbewilligung und haben auch keinen An­spruch auf Erteilung einer solchen (vgl. Art. 32 Bst. a Asylverordnung 1 über Verfahrensfragen vom 11. August 1999 [AsylV 1, SR 142.311]). Die Wegweisung wurde demnach zu Recht angeordnet.</w:t>
      </w:r>
    </w:p>
    <w:p>
      <w:r>
        <w:rPr>
          <w:b/>
        </w:rPr>
        <w:t>E. 6.1</w:t>
      </w:r>
    </w:p>
    <w:p>
      <w:r>
        <w:t>Ist der Vollzug der Wegweisung nicht zulässig, nicht zumutbar oder nicht möglich, so regelt das Bundesamt das Anwesenheitsverhältnis der asyl­su­chenden Person nach den gesetzlichen Bestimmungen über die vorläu­fige Aufnahme von Ausländern (Art. 44 Abs. 2 AsylG; Art. 83 Abs. 1 des Bundesgesetzes vom 16. Dezember 2005 über die Ausländerinnen und Ausländer [AuG, SR 142.20]).</w:t>
      </w:r>
    </w:p>
    <w:p>
      <w:r>
        <w:rPr>
          <w:b/>
        </w:rPr>
        <w:t>E. 6.2</w:t>
      </w:r>
    </w:p>
    <w:p>
      <w:r>
        <w:t>Die Bedingungen für einen Verzicht auf den Vollzug der Wegweisung (Unzulässigkeit, Unzumutbarkeit, Unmöglichkeit) sind alternativer Natur: Ist eine von ihnen erfüllt, ist der Vollzug der Wegweisung als undurch­führ­bar zu betrachten und die weitere Anwesenheit in der Schweiz gemäss den Bestimmungen über die vorläufige Aufnahme zu regeln. Gegen eine all­fällige Aufhebung der vorläufigen Aufnahme steht dem weggewiesenen Asylsuchenden wiederum die Beschwerde an das Bundesverwaltungsge­richt offen (Art. 112 AuG i.V.m. Art. 84 Abs. 2 AuG), wobei in jenem Verfah­ren die Vollzugshindernisse von Amtes wegen und nach Massgabe der dannzumal herrschenden Verhältnisse von Neuem zu prüfen sind (vgl. BVGE 2009/51 E. 5.4 mit weiteren Hinweisen).</w:t>
      </w:r>
    </w:p>
    <w:p>
      <w:r>
        <w:rPr>
          <w:b/>
        </w:rPr>
        <w:t>E. 7.1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unter Vorbehalt von Art. 83 Abs. 7 AuG die vorläufige Aufnahme zu gewähren (vgl. Botschaft zum Bundesgesetz über die Auslän­derinnen und Ausländer vom 8. März 2002, BBl 2002 3818).</w:t>
      </w:r>
    </w:p>
    <w:p>
      <w:r>
        <w:rPr>
          <w:b/>
        </w:rPr>
        <w:t>E. 7.2</w:t>
      </w:r>
    </w:p>
    <w:p>
      <w:r>
        <w:t>Zum Vornherein ausgeschlossen ist ein Vollzug der Weg­weisung in den Iran, wo sich die Beschwerdeführenden als afghanische Staatsbürger seit der Kindheit aufgehalten haben. Die Annahme, dass sie sich in die­sem Land ent­ge­gen ihren nicht übereinstimmenden Angaben möglicher­weise legal als Flüchtling auf­halten konnten, ist zwar nicht ausgeschlos­sen. Hingegen er­scheint nicht realistisch, dass sie als af­gha­nische Staats­bürger die iranische Staatsbürgerschaft erwerben konn­ten. In den Iran könnte der Vollzug der Wegweisung indes nur dann erfolgen, wenn die Möglichkeit einer legalen Wiedereinreise be­stün­de. Diese Mög­lich­keit ist von der Vorinstanz aber zu Recht nicht erwogen worden, zu­mal die Be­schwerdeführenden als afghanische Staatsbürger einen allfälligen Dul­dungsanspruch in diesem Drittstaat aufgrund ihrer langen Landesabwesen­heit ohnehin verwirkt haben dürften (vgl. dazu BVGE D-3936 vom 10. August 2009; D-6471/2007 vom 26. August 2009; D-8645/2007 vom 7. Juni 2010).</w:t>
      </w:r>
    </w:p>
    <w:p>
      <w:r>
        <w:rPr>
          <w:b/>
        </w:rPr>
        <w:t>E. 7.3</w:t>
      </w:r>
    </w:p>
    <w:p>
      <w:r>
        <w:t>Im zur Publikation vorgesehenen Urteil BVGE E-7625/2008 vom 16. Juni 2011 skizziert das Bundesverwaltungsgericht ein äusserst düsteres Bild der ak­tuellen Lage in Afghanistan, und zwar über alle Regionen hin­weg. Das Gericht kommt zum Schluss, dass in weiten Teilen von Afghanis­tan - ausser allenfalls in den Grossstädten - eine derart schlechte Sicherheitslage und derart schwierige humanitäre Bedingungen bestünden, dass die Situation als existenzbedrohend im Sinne von Art. 83 Abs. 4 AuG zu qualifizieren sei. Von dieser allgemeinen Feststellung sei die Situation in der Hauptstadt Kabul zu unterscheiden. Angesichts des Um­standes, dass sich dort die Sicherheitslage im Verlauf des vergange­nen Jahres nicht weiter verschlechtert habe und die humanitäre Situation im Vergleich zu den übrigen Gebieten etwas weniger dramatisch sei, könne der Vollzug der Wegweisung nach Kabul unter Umständen als zumut­bar qualifiziert werden. Solche Umstände könnten grundsätzlich na­mentlich dann gegeben sein, wenn es sich beim Rückkehrer um einen jun­gen, gesunden Mann handle. Angesichts konstanten Verschlechterung der Lage über die vergangenen Jahre hinweg und der auch in Kabul schwie­rigen Situation verstehe es sich aber von selbst, dass die bereits von der vormaligen Beschwerdeinstanz in Ent­schei­dun­gen und Mitteilun­gen der Schwei­zerischen Asylrekurskommission (EMARK) 2003 Nr. 10 for­mulierten strengen Bedingun­gen in jedem Einzelfall sorgfältig geprüft und erfüllt sein müssten, um ei­nen Wegweisungsvollzug nach Kabul als zu­mutbar zu qualifizieren. Un­abdingbar sei in erster Linie ein soziales Netz, das sich im Hinblick auf die Aufnahme und Wiedereingliederung des Rückkehres als tragfähig er­weise. Ohne Unterstützung durch Familie oder Bekannte würden die schwierigen Lebensverhältnisse auch in Kabul unweigerlich in eine exis­tenzielle beziehungsweise lebensbedrohende Situa­tion führen. Für einen Rückkehrer aus Europa bestehe aufgrund der Vermutung, dass er Devi­sen auf sich trage, gleich nach seiner Ankunft in Kabul ein erhöhtes Risi­ko, entführt oder überfallen zu werden. Verfüge er auf der anderen Seite über keine genügenden finanziellen Mittel, hätte er ohne soziale Vernet­zung kaum Aussicht auf eine zumutbare - das heisst winterfeste und mit minimaler sanitärer Einrichtung ausgestattete - Unter­kunft. Auch bei der Arbeitssuche sei die Einstellung, selbst von unqualifi­zierten Arbeitskräften, regelmässig von persönlichen Beziehungen abhän­gig. Eine die Gesund­heit nur einigermassen garantierende Ernährung wäre ohne die Hilfe von nahestehenden Personen ebenfalls kaum mög­lich, und der Zugang zu sauberem Trinkwasser schwierig; Unterstützungs­massnahmen der Re­gierung oder internationaler Organisatio­nen könnten laut zuverlässigen Quellen daran nichts ändern. Kämen in einer solchen Situation noch gesundheitliche Umstellungsschwie­rigkeiten hinzu, geriete auch ein junger gesunder Mann ohne soziale Vernetzung unweigerlich innert absehbarer Zeit in eine existenbedrohende Situation. Im Übrigen betone auch der Schweizeri­sche Botschafter in Islamabad die vorrangige Bedeutung eines tragfähigen sozialen Netzes für einen Rückkehrer zur Vermeidung unüber­brückbarer Schwierigkeiten (vgl. E. 9.3 ff.).</w:t>
      </w:r>
    </w:p>
    <w:p>
      <w:r>
        <w:rPr>
          <w:b/>
        </w:rPr>
        <w:t>E. 7.4</w:t>
      </w:r>
    </w:p>
    <w:p>
      <w:r>
        <w:t>Die Beschwerdeführenden stammen aus (der Provinz) Herat. Die Frage, ob hinsichtlich dieser zweitgrössten Stadt Afghanistans analog zu Ka­bul allenfalls unter bestimmten Voraussetzungen ebenfalls von der Zu­mutbarkeit des Vollzugs ausgegangen werden könne, ist im zitierten Ur­teil offen gelassen worden (E. 9.9.3). Fest steht indes, dass die obenste­hend aufgeführten strengen Bedingungen für eine dortige Wohnsitz­nahme ebenfalls erfüllt sein müssten. Vorauszuschicken ist, dass die Beschwerdeführenden gemäss ihren vom BFM nicht bezweifelten Angaben seit ihrer Kindheit und mithin seit unge­fähr dreissig Jahren im Iran lebten. Die Beschwerdeführerin gab denn auch an, Afghanistan sei nicht mehr ihr Heimatland (A 1/12 S. 6). Dass sie jemals wieder nach Afghanistan zurückgekehrt wäre, bringt sie nicht vor. Der Beschwerdeführer soll sich im Jahre 2006 während einiger Wo­chen bei seinem Schwager in Herat aufgehalten haben. Aufgrund der Situa­tion vor Ort sei er davon abgekommen, zusammen mit seiner Frau nach Herat zurückzukehren (A 7/12 S. 2 und 6). Weitere Aufenthalte in Af­ghanistan habe es nicht gegeben. Das BFM verweist zwar zu Recht auf noch bestehende Anknüpfungs­punkte in Herat. So räumte auch der Beschwerdeführer ein, das familienei­gene Haus in Herat gehöre nach wie vor ihnen (A 10/7 Antwort 5 f.). Ob es sich um dasselbe Haus handelt, von welchem die Beschwerde­führerin wiederholt sprach, oder ob allenfalls von zwei verschie­denen Häusern der jeweiligen Familien die Rede war, ergibt sich aus den massgeblichen Proto­kollstellen zwar nicht ganz schlüssig (vgl. dazu auch S. 3 der Be­schwerdeschrift), kann aber aus nachfolgenden Gründen letztlich offen ge­lassen werden. Unbesehen der allfälligen, konkret indes in keiner Weise sichergestellten Wohnmöglichkeit ist nämlich die Tragfähigkeit ei­nes sozialen Netzes für die Beschwerdeführenden in Herat zu verneinen. Diesbezüglich ist zu betonen, dass, da die Beschwerdeführerenden seit ihrer frühen Kindheit nicht mehr in Afghanistan gelebt haben, an die Tragfähigkeit des sozialen Netzes umso höhere Anforderungen zu stellen sind. Nebst dem Bruder der Beschwerdeführerin soll sich laut Aussagen des Be­schwerdeführers lediglich die Ehefrau eines verstorbenen Onkels in He­rat aufhalten. Deren wirtschaftliche Situation ist ungewiss. Auch die von der Beschwerdeführerin erwähnten beiden Cousins (A 11/7 Antwort 8), über deren Situa­tion sich den Akten nichts Konkretes entnehmen lässt, führen nicht zum Schluss, dass die wie erwähnt strengen Voraussetzungen zur Beja­hung der Tragfähigkeit des sozialen Netzes erfüllt sind. Namentlich wäre auch in keiner Weise gewährleistet, dass der Beschwerde­führer bei der Wiederaufnahme seiner Tätigkeit als Schneider in einer für ihn fremden Umgebung hinreichend unterstützt würde. Schliesslich ist auf die medizinische Situation der Beschwerdeführerin hin­zuweisen. Sie leidet wegen ihrer Kinderlosigkeit an De­pressionen und begab sich auch in der Schweiz in ärztliche Behandlung. Mithin würde auch ihre gesundheitliche Situation die Wiedereingliederung er­schweren. Generell wäre fraglich, ob sie in einem ihr fremden Land über­haupt mit einer adäquaten Behandlung rechnen könnte (zum Gesund­heitswesen in Afghanistan vgl. a.a.O. E. 9.8). Es ist so­mit nicht davon auszu­ge­hen, dass es den Beschwerdeführen­den in Herat gelingen würde, eine Existenz­grundlage aufzubauen. Dies umso weniger, als der in der Kindheit begonnene langjährige Iran-Aufent­halt zu einer entscheidenden Entwurzelung geführt haben dürfte.</w:t>
      </w:r>
    </w:p>
    <w:p>
      <w:r>
        <w:rPr>
          <w:b/>
        </w:rPr>
        <w:t>E. 7.5</w:t>
      </w:r>
    </w:p>
    <w:p>
      <w:r>
        <w:t>Eine innerstaatliche Aufenthaltsalternative in Kabul (oder allenfalls auch in Mazar-i-Sharif, wo die Lage im zitierten Urteil wiederum nicht ab­schliessend geprüft wurde) kommt mangels Bezügen der Beschwerdefüh­renden zu diesen Städten offensichtlich nicht in Betracht.</w:t>
      </w:r>
    </w:p>
    <w:p>
      <w:r>
        <w:rPr>
          <w:b/>
        </w:rPr>
        <w:t>E. 7.6</w:t>
      </w:r>
    </w:p>
    <w:p>
      <w:r>
        <w:t>Angesichts der gesamten Umstände ist der Vollzug der Weg­wei­sung - der aktuellen Praxis entsprechend - als unzumutbar zu be­zeich­nen. Die Voraussetzungen für die Gewährung der vorläufigen Auf­nah­me sind dem­nach erfüllt. Einer vorläufigen Aufnahme stehen im Übri­gen keine einschrän­kenden gesetzlichen Tatbestände (Art. 83 Abs. 7 AuG) entge­gen.</w:t>
      </w:r>
    </w:p>
    <w:p>
      <w:r>
        <w:rPr>
          <w:b/>
        </w:rPr>
        <w:t>E. 8</w:t>
      </w:r>
    </w:p>
    <w:p>
      <w:r>
        <w:t>Die Beschwerde ist demnach gutzuheissen, soweit sie den Vollzug der Weg­weisung betrifft; im Übrigen ist sie abzuweisen. Die Verfügung des BFM vom 20. November 2009 ist hinsichtlich der Ziffern 4 und 5 des Dis­posi­tivs aufzuheben und das BFM ist anzuweisen, die Be­schwerdeführen­den in der Schweiz vorläufig aufzunehmen.</w:t>
      </w:r>
    </w:p>
    <w:p>
      <w:r>
        <w:rPr>
          <w:b/>
        </w:rPr>
        <w:t>E. 9.1</w:t>
      </w:r>
    </w:p>
    <w:p>
      <w:r>
        <w:t>Bei diesem Ausgang des Verfahrens - das Bundesverwaltungs­ge­richt geht bei der vorliegenden Konstellation von einem hälftigen Durch­drin­gen aus - wären die reduzierte Verfahrenskosten den Be­schwerdeführenden aufzuerlegen (vgl. Art. 63 Abs. 1 VwVG). Da das Ge­such im Sinne von Art. 65 Abs. 1 VwVG mit Zwi­schen­verfügung vom 5. Januar 2010 gutgeheissen wurde, ist auf eine Kos­tenauflage zu verzich­ten.</w:t>
      </w:r>
    </w:p>
    <w:p>
      <w:r>
        <w:rPr>
          <w:b/>
        </w:rPr>
        <w:t>E. 9.2</w:t>
      </w:r>
    </w:p>
    <w:p>
      <w:r>
        <w:t>Gemäss Art. 64 Abs. 1 VwVG kann die Beschwerdeinstanz der ob­sie­genden Partei eine Parteientschädigung für die notwendigen und ver­hält­nismässig hohen Kosten zusprechen. Den vertretenen Be­schwerdefüh­rern ist angesichts des teilweisen Obsiegens eine reduzier­te Parteient­schädi­gung zuzusprechen (Art. 7 Abs. 2 des Reg­lements vom 21. Feb­ruar 2008 über die Kosten und Entschädigun­gen vor dem Bundes­ver­wal­tungsgericht [VGKE, SR 173.320.2]). Gemäss Eingabe der Rechtsvertretung vom 17. Dezember 2009 waren den Beschwerdeführen­den bis zu diesem Datum Kosten von Fr. 800.-- entstan­den. In Berücksichtigung der nachfolgenden Prozessgeschichte sind die Kosten von Amtes wegen und unter Verzicht auf die Nachrei­chung einer Kostennote auf insgesamt Fr. 1000.-- festzusetzten. Das BFM wird entsprechend angewiesen, den Beschwerdeführenden eine hälf­tige Parteientschädigung in der Höhe von Fr. 500.--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