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D-7937/2025 vom 5. November 2025</w:t>
      </w:r>
    </w:p>
    <w:p>
      <w:r>
        <w:t>Bundesverwaltungsgericht, 2025-11-05, DE</w:t>
      </w:r>
    </w:p>
    <w:p>
      <w:r>
        <w:rPr>
          <w:b/>
        </w:rPr>
        <w:t xml:space="preserve">Quelle: </w:t>
      </w:r>
      <w:r>
        <w:t>https://mcp.opencaselaw.ch/entscheid/bvger_D-7937_2025</w:t>
      </w:r>
    </w:p>
    <w:p>
      <w:r>
        <w:t>FR: TAF D-7937/2025 du 5 novembre 2025</w:t>
      </w:r>
    </w:p>
    <w:p>
      <w:r>
        <w:t>IT: TAF D-7937/2025 del 5 novembre 2025</w:t>
      </w:r>
    </w:p>
    <w:p>
      <w:pPr>
        <w:pStyle w:val="Heading2"/>
      </w:pPr>
      <w:r>
        <w:t>Regeste</w:t>
      </w:r>
    </w:p>
    <w:p>
      <w:r>
        <w:t>Asyl und Wegweisung (beschleunigtes Verfahren)</w:t>
      </w:r>
    </w:p>
    <w:p>
      <w:pPr>
        <w:pStyle w:val="Heading2"/>
      </w:pPr>
      <w:r>
        <w:t>Erwägungen</w:t>
      </w:r>
    </w:p>
    <w:p>
      <w:r>
        <w:rPr>
          <w:b/>
        </w:rPr>
        <w:t>E. 25</w:t>
      </w:r>
    </w:p>
    <w:p>
      <w:r>
        <w:t>September 2025 S. 5 m.w.H.), dass darüber hinaus davon auszugehen ist, dass die sie angeblich bedro- henden Familienangehörigen nicht über landesweite Strukturen verfügen und ihr daher eine zumutbare innerstaatliche Fluchtalternative in anderen Teilen ihres Heimatstaates offensteht, dass der Beschwerdeführerin auch zuzumuten ist, im Bedarfsfall den Schutz ihres Heimatstaates vor nichtstaatlicher Verfolgung auszuschöp- fen, dass es der Beschwerdeführerin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die Beschwer- deführerin insbesondere weder über einen Aufenthaltstitel für die Schweiz noch über einen Anspruch auf Erteilung eines solchen verfügt (Art. 44 [ers- ter Satz] AsylG; BVGE 2013/37 E. 4.4 und 2009/50 E. 9, je m.w.H.),</w:t>
      </w:r>
    </w:p>
    <w:p>
      <w:r>
        <w:t>D-7937/2025 Seite 6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völker- und landesrechtlichen Bestimmungen als zulässig erweist (Art. 83 Abs. 3 AIG), da nach den vorstehenden Erwägungen keine Hinweise auf eine flüchtlingsrechtlich relevante Verfolgung bestehen (Art. 5 Abs. 1 AsylG; Art. 33 Abs. 1 FK [SR 0.142.30]) und auch keine konkreten Anhalts- punkte für eine in der Heimat drohende menschenrechtswidrige Behand- lung (im Sinne von Art. 3 EMRK) ersichtlich sind, dass gemäss konstanter Praxis des Bundesverwaltungsgerichts in der ge- samten Türkei nicht von einer Situation allgemeiner Gewalt oder bürger- kriegsähnlichen Verhältnissen auszugehen ist, dies auch nicht für Angehö- rige der kurdischen Ethnie (vgl. statt vieler Urteile des BVGer E-4459/2025 vom 14. Juli 2025 E.9.3.2; Referenzurteil des BVGer E-4103/2024 vom 8. November 2024 E. 13.2), dass hinsichtlich der Zumutbarkeit des Wegweisungsvollzugs im Übrigen vollumfänglich auf die zutreffenden Ausführungen in der angefochtenen Verfügung verwiesen werden kann (vgl. A24/9 S. 6 f.), welchen die Be- schwerdeführerin in der Rechtsmitteleingabe nichts Substantielles entge- gensetzt, dass sich der Vollzug der Wegweisung somit in allgemeiner wie auch in individueller Hinsicht als zumutbar erweist, dass es der Beschwerdeführerin obliegt, sich die für ihre Rückkehr allen- falls benötigten Reisedokumente zu beschaffen (Art. 8 Abs. 4 AsylG; vgl. BVGE 2008/34 E. 12), weshalb der Vollzug der Wegweisung auch als möglich zu bezeichnen ist, dass die Anordnung der vorläufigen Aufnahme somit ausser Betracht fällt (Art. 83 Abs. 1-4 AIG),</w:t>
      </w:r>
    </w:p>
    <w:p>
      <w:r>
        <w:t>D-7937/2025 Seite 7 dass nach dem Gesagten die angefochtene Verfügung zu bestätigen und die eingereichte Beschwerde als offensichtlich unbegründet abzuweisen ist, dass die Gesuche um Gewährung der unentgeltlichen Prozessführung und amtlichen Rechtsverbeiständung abzuweisen sind, da sich die Besch- werde nach dem Gesagten als von Anfang an aussichtslos erwiesen hat, dass der Beschwerdeführerin demnach die Kosten des Verfahrens – wel- che praxisgemäss auf Fr. 1’000.– zu bestimmen sind – aufzuerlegen sind (Art. 63 Abs. 1 VwVG; Art. 1–3 des Reglements vom 21. Februar 2008 über die Kosten und Entschädigungen vor dem Bundesverwaltungsgericht [VGKE, SR 173.320.2]).</w:t>
      </w:r>
    </w:p>
    <w:p>
      <w:r>
        <w:t>(Dispositiv nächste Seite)</w:t>
      </w:r>
    </w:p>
    <w:p>
      <w:r>
        <w:t>D-7937/2025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