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D-7933/2010 vom 17. Januar 2012</w:t>
      </w:r>
    </w:p>
    <w:p>
      <w:r>
        <w:t>Bundesverwaltungsgericht, 2012-01-17, DE</w:t>
      </w:r>
    </w:p>
    <w:p>
      <w:r>
        <w:rPr>
          <w:b/>
        </w:rPr>
        <w:t xml:space="preserve">Quelle: </w:t>
      </w:r>
      <w:r>
        <w:t>https://mcp.opencaselaw.ch/entscheid/bvger_D-7933_2010</w:t>
      </w:r>
    </w:p>
    <w:p>
      <w:r>
        <w:t>FR: TAF D-7933/2010 du 17 janvier 2012</w:t>
      </w:r>
    </w:p>
    <w:p>
      <w:r>
        <w:t>IT: TAF D-7933/2010 del 17 gennaio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Flüchtlingen wird kein Asyl gewährt, wenn sie wegen verwerflicher Handlungen dessen un­würdig sind oder wenn sie die innere oder äussere Sicherheit der Schweiz verletzt haben oder gefährden (Art. 53 AsylG).</w:t>
      </w:r>
    </w:p>
    <w:p>
      <w:r>
        <w:rPr>
          <w:b/>
        </w:rPr>
        <w:t>E. 2.3</w:t>
      </w:r>
    </w:p>
    <w:p>
      <w:r>
        <w:t>Nachdem das BFM den Beschwerdeführer als Flüchtling aner­kannt hat, beschränkt sich der Prozessgegenstand vorliegend auf die Frage, ob die Vorinstanz zu Recht vom Bestehen des Asylausschlussgrundes der Asylunwürdigkeit gemäss Art. 53 AsylG ausgegangen ist.</w:t>
      </w:r>
    </w:p>
    <w:p>
      <w:r>
        <w:rPr>
          <w:b/>
        </w:rPr>
        <w:t>E. 3.1</w:t>
      </w:r>
    </w:p>
    <w:p>
      <w:r>
        <w:t>Praxisgemäss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9 Abs. 1 des Schweizeri­schen Strafgesetzbuches vom 21. Dezember 1937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werden und zum Asylausschluss führen könnte; diese Frage kann indessen im vorliegenden Fall offen 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(vgl. BVGE E-4286/2008 mit weiteren Hinweisen).</w:t>
      </w:r>
    </w:p>
    <w:p>
      <w:r>
        <w:rPr>
          <w:b/>
        </w:rPr>
        <w:t>E. 3.2</w:t>
      </w:r>
    </w:p>
    <w:p>
      <w:r>
        <w:t>Unter Art. 53 AsylG sind ausserdem auch Handlungen zu subsumieren, denen keine strafrechtli­che Konnotation im engeren Sinne des Strafrechts zukommen. Art. 53 AsylG verwendet keinen der Begriffe Verbrechen, Vergehen, Delikte oder strafbare Handlungen, sondern vielmehr den juristisch nicht allgemein defi­nierten und moralisch besetzten Ausdruck der "verwerflichen Handlun­gen". Auch aus dem Titel von Art. 53 AsylG ("Asylunwürdigkeit") geht, wie in EMARK 2002 Nr. 9 E. 7d ausgeführt, hervor, dass jemand, der verwerfliche Handlungen begangen habe, des Asyls unwürdig sei, was doch auf einen gewissen moralischen Charakter der Norm hinweise (vgl. BVGE E-4286/2008 E. 6.3.).</w:t>
      </w:r>
    </w:p>
    <w:p>
      <w:r>
        <w:rPr>
          <w:b/>
        </w:rPr>
        <w:t>E. 3.3</w:t>
      </w:r>
    </w:p>
    <w:p>
      <w:r>
        <w:t>Hinsichtlich des anzuwendenden Beweismasses ist bei Straftaten, die im Ausland begangen wurden, kein strikter Nachweis erforderlich. Die ARK legte hinsichtlich der Praxis bei der Anwendung der Ausschlussklau­sel von Art. 1 F Bst. a FK fest, dass die Verwaltungsbehörde nicht dar­über zu entscheiden hat, ob die betreffende Person sich im strafrechtli­chen Sinne eines Verbrechens gegen den Frieden, eines Kriegsverbre­chens oder eines Verbrechens gegen die Menschlichkeit schuldig ge­macht hat. Sie stellt lediglich fest, dass hinlänglich konkrete Anhalts­punkte (faisceau d'indices) dafür vorliegen müssen, dass die betreffende Person für solche verpönte Taten individuell verantwortlich ist (vgl. EMARK 2006 Nr. 29 E. 4 S. 313 ff.). Das Bundesverwaltungsgericht hält da­für, dass auch für die Beurteilung, ob Gründe für einen Asylausschluss vorliegen, der gleiche Beweismassstab anzuwenden ist wie bei der Beurtei­lung, ob Gründe für den wesentlich bedeutsameren Ausschluss von der Flüchtlingseigenschaft nach Art. 1 F Bst. a FK vorliegen. Dies heisst, dass die Behörde, die über den Asylausschluss nach Art. 53 AsylG entscheidet, zu prüfen hat, ob hinlänglich konkrete Anhaltspunkte (fais­ceau d'indices) dafür vorliegen, der Gesuchsteller beziehungsweise Be­schwerdeführer habe eine individuelle Verantwortlichkeit für "verwerfliche Handlungen" im Sinne des Asylgesetzes.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w:t>
      </w:r>
    </w:p>
    <w:p>
      <w:r>
        <w:rPr>
          <w:b/>
        </w:rPr>
        <w:t>E. 4.1</w:t>
      </w:r>
    </w:p>
    <w:p>
      <w:r>
        <w:t>Gemäss Art. 260ter StGB wird mit Freiheitsstrafe bis zu fünf Jahren be­straft, wer sich an einer Organisation beteiligt, die ihren Aufbau und ihre personelle Zusammensetzung geheim hält und die den Zweck ver­folgt, Gewaltverbrechen zu begehen oder sich mit verbrecherischen Mit­teln zu bereichern, oder eine solche Organisation in ihrer verbrecheri­schen Tätigkeit unterstützt. Somit gilt die Beteiligung an einer solchen Orga­nisation beziehungsweise die Unterstützung derselben in ihrer verbre­cherischen Tätigkeit als Verbrechen und würde demzufolge einen Asylausschluss begründen (vgl. EMARK 2002 Nr. 9 E. 7c S. 80 ff.). Es ge­nügt die Beteiligung oder Unterstützung ohne Nachweis des individuel­len Tatbeitrages an einem konkreten Delikt. Der Begriff der kriminellen Orga­nisation im Sinne von Art. 260ter StGB umfasst neben den mafiaähnli­chen Verbrechersyndikaten auch hochgefährliche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(vgl. BGE 130 II 337 E. 6 S. 344 f.; BGE 131 II 235 E. 2.12 S. 240 ff.; BGE 133 IV 58 E. 5 S. 63 ff.).</w:t>
      </w:r>
    </w:p>
    <w:p>
      <w:r>
        <w:rPr>
          <w:b/>
        </w:rPr>
        <w:t>E. 4.2</w:t>
      </w:r>
    </w:p>
    <w:p>
      <w:r>
        <w:t>Nach den Erkenntnissen des Bundesverwaltungsgerichts handelte es sich bei der Dev-Sol, aus der die DHKP-C hervorgegangen ist, um eine illegale Organisation mit dem Ziel, das bestehende türkische Staatsgefüge durch bewaffnete Revolution zu zerschlagen und ein sozialistisches System einzurichten. Um ihre Ideologie dem Volk nahe zu bringen und neue Anhänger zu gewinnen, führte sie auch legale Aktivitäten durch und arbeitete in legalen und demokratischen Vereinen mit. Aufgrund interner Streitigkeiten spaltete sie sich im Jahre 1992 in zwei verfeindete Flügel, die THKP-C (Türkische Volksbefreiungspartei-Front; auch Yagan-Flügel genannt) und die 1994 entstandene DHKP-C (Revolutionäre Volksbefreiungspartei-Front oder Karatas-Flügel). Letztere teilte sich wiederum in einen politischen (DHKP) und einen militärischen Flügel (DHKC), wobei sie weiterhin die Ziele der ehemaligen Dev-Sol verfolgte (vgl. Schweizerische Flüchtlingshilfe, Türkei - Turquie, Informationen für HilfswerkvertreterInnen, April 1997, S. 124-129). Die DHKP-C hat sich massgeblich an den Hungerstreiks und Todesfasten in türkischen Gefängnissen _______ beteiligt und als einzige Organisation noch bis Anfang 2007 daran festgehalten. Daneben führte sie aber auch Anschläge durch, die sich gegen Personen und Einrichtungen der türkischen Regierung und Sicherheitskräfte sowie gegen "Zeichen des Imperialismus" richteten. Bei den Todesfasten sind an die hundert Mitglieder gestorben, wodurch die Organisation zunehmend geschwächt wurde. Zudem ist sie heute vom türkischen Geheimdienst unterlaufen, der ihre geplanten Aktionen zu verhindern weiss, sodass ihnen in letzter Zeit keine spektakulären Operationen mehr gelungen sind. Dennoch geht von der DHKP-C weiterhin ein Gefährdungspotenzial aus und sie steht nach wie vor auf der europäischen Liste der Terrororganisationen vom 20. Dezember 2007 des Rats der Europäischen Union (vgl. für weitere Hinweise oben erwähntes Urteil des Bundesverwaltungsgerichts D-3444/2006 vom 3. Juli 2009). Fraglich bleibt an dieser Stelle, inwiefern sich auch die Jugendorganisation LDG den Zielen und Aktivitäten der Mutterpartei angeschlossen hat.</w:t>
      </w:r>
    </w:p>
    <w:p>
      <w:r>
        <w:rPr>
          <w:b/>
        </w:rPr>
        <w:t>E. 4.3</w:t>
      </w:r>
    </w:p>
    <w:p>
      <w:r>
        <w:t>Eine eingehende Auseinandersetzung mit der Frage, ob die DHKP-C beziehungsweise deren Jugendorganisation LDG im massgeblichen Zeitpunkt der möglichen Mitgliedschaft des Beschwerdeführers als eine kriminelle Organisation im Sinne der bundesgerichtlichen Rechtsprechung zu Art. 260ter StGB zu qualifizieren wäre, kann - wie nachfolgend aufgezeigt - im vorliegenden Fall jedoch unterbleiben. Nach Prüfung der Akten gelangt das Bundesverwaltungsgericht nämlich zum Schluss, dass die bestehende Beweislage nicht ausreicht, um dem Beschwerdeführer die Beteiligung an der DHKP-C oder die Unterstützung dieser Organisation mit überwiegender Wahrscheinlichkeit vorzuhalten (vgl. auch BGE 133 IV 53).</w:t>
      </w:r>
    </w:p>
    <w:p>
      <w:r>
        <w:rPr>
          <w:b/>
        </w:rPr>
        <w:t>E. 4.4</w:t>
      </w:r>
    </w:p>
    <w:p>
      <w:r>
        <w:t>Dem Beschwerdeführer wird von den türkischen Behörden die Mitgliedschaft bei der DHKP-C/LDG vorgeworfen. Auf die Erkenntnisse aus dem entsprechenden türkischen Strafverfahren kann dabei jedoch nicht ohne Weiteres abgestellt werden (dazu auch nachfolgend). Der Beschwerdeführer selber hat anlässlich der Summarbefragung und der Anhörung stets bestritten Mitglied der DHKP-C oder deren Jugendorganisation gewesen zu sein. Die DHKP-C habe er erst im Gefäng­nis kennengelernt. An gewaltsamen Aktionen sei er nicht beteiligt gewesen, vielmehr beschreibt er seine politischen Tätigkeiten mit Schulboykotten, Teilnahme an Protestmärschen und Demonstrationen sowie Verkauf von Zeitschriften. Der Beschwerdeführer stammt zwar aus einer politischen Familie und seine Geschwister standen offenbar mit verschiedenen radikalen Parteien in Kontakt, dass sich diese an Gewaltakten beteiligt hätten, ergibt sich aus den Akten jedoch nicht. Auch der Beschwerdeführer gab anlässlich der Empfangsstellenbefragung an, in der Gymnasialzeit in einer der Polizei bekannten Gruppe politisch aktiv gewesen zu sein. Davon, dass der Beschwerdeführer also eine gewisse Nähe zu radikalen linkslastigen Organisationen während der Gymnasialzeit pflegte und dabei auch an politischen Aktionen teilnahm, ist aufgrund der Akten auszugehen. Allein aufgrund des familiären Hintergrundes und des Umstandes, dass er im Gymnasium politisch aktiv war, kann vorliegend jedoch noch nicht auf eine Mitgliedschaft bei einer terroristisch operierenden Organisation geschlossen werden. Zu prüfen sind vielmehr im Weiteren die ihm vorgeworfenen Straftaten.</w:t>
      </w:r>
    </w:p>
    <w:p>
      <w:r>
        <w:rPr>
          <w:b/>
        </w:rPr>
        <w:t>E. 4.5.1</w:t>
      </w:r>
    </w:p>
    <w:p>
      <w:r>
        <w:t>Das BFM wirft dem Beschwerdeführer insbesondere vor, an den ihm in der Türkei zur Last gelegten Brandanschlägen beteiligt gewesen zu sein. Dabei stützt es sich in seinem Entscheid massgeblich auf die türkischen Ermittlungsakten im Zusammenhang mit dem DHKP-C/LDG-Verfahren und na­mentlich das _______ ergangene Urteil. Dies erweist sich vorlie­gend jedoch als insofern problematisch, als angesichts der glaubhaften Aussagen des Beschwerdeführers und der damaligen Situation in der Türkei davon auszugehen ist, dass im entsprechenden Ermittlungsverfahren Foltermethoden eingesetzt worden sind. Dies wird auch vom BFM nicht bestritten. Die Erkenntnisse im türkischen Strafverfahren sind demzufolge vor diesem Hintergrund stark zu relativieren (vgl. dazu das vom BFM zitierte Urteil D-3720/2006 E. 4.4.1. sowie D-6242/2008 E. 4.5. S. 15).</w:t>
      </w:r>
    </w:p>
    <w:p>
      <w:r>
        <w:rPr>
          <w:b/>
        </w:rPr>
        <w:t>E. 4.5.2</w:t>
      </w:r>
    </w:p>
    <w:p>
      <w:r>
        <w:t>Der Beschwerdeführer befand sich zwischen 1999 und 2005 jahrelang in Untersuchungshaft, während der er anscheinend unter Folter ein Geständnis ablegte, wonach er sich an drei Brandanschlägen beteiligt habe. Bemerkenswert ist in diesem Zusammenhang zunächst, dass es zur Festnahme offenbar deshalb kam, weil der Beschwerdeführer anlässlich einer Razzia wegen der Suche nach seinem Bruder zugab, der Besitzer einer sich im Haus aufgefundenen oppositionellen Zeitschrift zu sein (vgl. A17/16 S. 6f.). In der Haft wurde ihm dann vorgeworfen, an den über ein Jahr früher stattgefundenen Brandanschlägen beteiligt gewesen zu sein. Dieses Vorgehen wirft bereits gewisse Fragen auf. Sodann kann auf das Geständnis des Beschwerdeführers angesichts der angewendeten Folter nicht abgestellt werden. Das BFM führt in diesem Zusammenhang zwar aus, aufgrund der protokollierten ausführlichen Darstellungen des Tathergangs wie auch der gegenseitigen und übereinstimmenden Belastungsaussagen der Mittäter sei trotz Folter davon auszugehen, dass der Beschwerdeführer tatsächlich an den Brandanschlägen beteiligt war. Dies vermag jedoch nicht zu überzeugen. Geht man nämlich davon aus, dass das Geständnis mittels Folter erpresst worden ist, ist auch zu vermuten, dass die zuständigen Ermittlungsbehörden die angeblichen protokollierten Eingeständnisse so konstruierten, dass sie für ein Gericht zu überzeugen vermögen und gegenseitig übereinstimmen. In diesem Zusammenhang führte der Beschwerdeführer denn auch aus, dass er nach Anwendung der Folter das unterschreiben musste, was von den Ermittlungsbehörden vorbereitet worden war. Es seien keine Detailfragen zum Tathergang gestellt worden, er habe einfach ein Dossier unterschrieben ohne zu wissen, was genau darin gestanden habe (vgl. A 17/16 S. 8). Auch hätten sich in den Gerichtsakten weder Beweise befunden, noch sei es zu einer Gegenüberstellung gekommen. Schliesslich wird im Gerichtsurteil von einer Tatortbegehung gesprochen. Inwiefern jedoch eine solche, über ein Jahr nach Tatbegehung auf die Identität der Täter schliessen lassen soll, bleibt dabei unklar. Insgesamt ergeben sich aus den Akten demnach nicht genügend konkrete Hinweise einer Teilnahmen des Beschwerdeführers an Gewaltakten oder für die aktive Unterstützung einer verbrecherischen Organisation. Die Abklärungen der Bot­schaft vor Ort, gemäss welchen über den Beschwerdeführer Datenblätter bestehen, vermögen an dieser Einschätzung nichts zu ändern.</w:t>
      </w:r>
    </w:p>
    <w:p>
      <w:r>
        <w:rPr>
          <w:b/>
        </w:rPr>
        <w:t>E. 4.5.3</w:t>
      </w:r>
    </w:p>
    <w:p>
      <w:r>
        <w:t>Die Vorinstanz hat dem Beschwerdeführer im Zusammenhang mit ei­nem zweiten Verfahren - dem Tötungsdelikt in _______ - verwerfliches Verhalten nicht angelastet. Dies erscheint als sachgerecht, zumal aufgrund der heutigen Aktenlage eine Verbindung des Beschwerdeführers mit einem Mord in keiner Weise festgestellt werden kann. Vielmehr ergeben sich einige Hinweise darauf, dass der Verdacht allein aufgrund seines politischen Hintergrundes auf ihn gefallen ist. Sehr überzeugend vermag der Beschwerdeführer jedenfalls an den angeblichen Zeugenaussagen zweifeln zu lassen. Das Verfahren wurde denn auch bis heute offenbar nicht weiterverfolgt (vgl. u.a. A 17/16 S. 4 f.; A 8/1 Dokument 10).</w:t>
      </w:r>
    </w:p>
    <w:p>
      <w:r>
        <w:rPr>
          <w:b/>
        </w:rPr>
        <w:t>E. 4.6</w:t>
      </w:r>
    </w:p>
    <w:p>
      <w:r>
        <w:t>Nach dem Gesagten geht die Vorinstanz zu Unrecht von der Asylunwür­digkeit des Beschwerdeführers aus. Doch selbst wenn genügend konkrete Hinweise darauf bestünden, dass sich der Beschwerdeführer im Jahre 1998 an Brandanschlägen beteiligt hätte, wäre eine Prüfung der Verhältnismässigkeit des Asylausschlusses vorzunehmen, was das BFM zu Unrecht unterliess. Aus dem eingereichten Gerichtsurteil _______ geht hervor, dass das Werfen von Molotow-Cocktails wegen Verjährung nicht mehr ge­ahndet wurde. Dieser Aspekt wird in der angefochtene Verfügung allen­falls nur implizit berücksichtigt; das BFM beschränkt sich darauf, den Be­schwerdeführer im Sinne des Gerichtsurteils der blossen Teilnahme an "Ak­tionen" zu bezichtigen. Dass die Delikte zudem mittlerweile mehr als 13 Jahre zurückliegen und der Beschwerdeführer damals erst knapp volljäh­rig war, ist im vorinstanzlichen Entscheid ebenfalls unerwähnt geblie­ben. Eine allfällige Anwendung von Art. 53 AsylG müsste in diesem Lichte besehen wohl auch als unangemessen qualifiziert werden.</w:t>
      </w:r>
    </w:p>
    <w:p>
      <w:r>
        <w:rPr>
          <w:b/>
        </w:rPr>
        <w:t>E. 4.7</w:t>
      </w:r>
    </w:p>
    <w:p>
      <w:r>
        <w:t>Das Bundesamt hat dem Beschwerdeführer demnach zu Unrecht ver­werfliche Handlungen im Sinne von Art. 53 AsylG vorgehalten.</w:t>
      </w:r>
    </w:p>
    <w:p>
      <w:r>
        <w:rPr>
          <w:b/>
        </w:rPr>
        <w:t>E. 4.8</w:t>
      </w:r>
    </w:p>
    <w:p>
      <w:r>
        <w:t>Aufgrund der bisherigen Erwägungen ist auch eine mögliche Gefährdung der inneren oder äusseren Sicherheit der Schweiz auszuschliessen. Daran vermag auch der Umstand, wonach die vom BFM kontak­tierte zuständige Stelle der Schweizer Behörden eine solche Gefährdung in ihrer jüngsten Stellungnahme offenbar nicht ausschliesst, nichts zu ändern. Dies umso weniger, als sich das entspre­chende Schreiben offenbar insbesondere auf das Ur­teil _______ der türkischen Behörden stützt. Dieselbe Behörde hatte nämlich zu einem früheren Zeitpunkt noch keine Sicherheits­bedenken geäussert (A 18/1 und A 41/2). Dass der Beschwerde­führer seit seiner Einreise in die Schweiz in relevanter Weise straffällig geworden wäre, lässt sich den verfügbaren Akten überdies nicht entnehmen.</w:t>
      </w:r>
    </w:p>
    <w:p>
      <w:r>
        <w:rPr>
          <w:b/>
        </w:rPr>
        <w:t>E. 5</w:t>
      </w:r>
    </w:p>
    <w:p>
      <w:r>
        <w:t>Aus diesen Erwägungen ergibt sich, dass die angefochtene Verfügung Bun­desrecht verletzt (Art. 106 AsylG). Die Beschwerde ist nach dem Ge­sagten gutzuheissen, die Verfügung des BFM vom 8. Oktober 2010 teil­weise - soweit die Dispositiv-Ziffern 2-7 betreffend - aufzuheben und das BFM anzuweisen, dem Beschwerdeführer Asyl zu gewähren.</w:t>
      </w:r>
    </w:p>
    <w:p>
      <w:r>
        <w:rPr>
          <w:b/>
        </w:rPr>
        <w:t>E. 6.1</w:t>
      </w:r>
    </w:p>
    <w:p>
      <w:r>
        <w:t>Bei diesem Ausgang des Verfahrens sind keine Kosten aufzuerlegen (Art. 63 Abs. 1 und 2 VwVG).</w:t>
      </w:r>
    </w:p>
    <w:p>
      <w:r>
        <w:rPr>
          <w:b/>
        </w:rPr>
        <w:t>E. 6.2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hin­reichend zu­verlässig abschätzen lässt, er­übrigt sich die Einholung einer Kosten­note. Die von der Vorinstanz aus­zu­rich­tende Parteientschädigung ist un­ter Berück­sichtigung der mass­ge­ben­den Be­messungsfaktoren von Amtes wegen auf Fr. 1'800.-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