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D-7920/2009 vom 7. Mai 2012</w:t>
      </w:r>
    </w:p>
    <w:p>
      <w:r>
        <w:t>Bundesverwaltungsgericht, 2012-05-07, DE</w:t>
      </w:r>
    </w:p>
    <w:p>
      <w:r>
        <w:rPr>
          <w:b/>
        </w:rPr>
        <w:t xml:space="preserve">Quelle: </w:t>
      </w:r>
      <w:r>
        <w:t>https://mcp.opencaselaw.ch/entscheid/bvger_D-7920_2009</w:t>
      </w:r>
    </w:p>
    <w:p>
      <w:r>
        <w:t>FR: TAF D-7920/2009 du 7 mai 2012</w:t>
      </w:r>
    </w:p>
    <w:p>
      <w:r>
        <w:t>IT: TAF D-7920/2009 del 7 maggio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Beschwerdeführerin beantragte in ihrer Beschwerde eventualiter die Rückweisung des Verfahrens an die Vorinstanz zu weiteren Abklärungen. Der Antrag wurde in der Folge in keiner Weise begründet. Der Sachverhalt ist jedoch vorliegend rechtsgenüglich erstellt. Demzufolge ist der Antrag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seiner Verfügung hielt das BFM im Wesentlichen fest, die Lage der ethnischen Minderheiten in Serbien habe sich im Zuge des demokratischen Wandels entspannt und das am 25. Februar 2002 in Kraft getretene Bundesgesetz zum Schutz und zur Freiheit der nationalen Minderheiten schütze auch die als Minderheit anerkannten Romas. Gemäss diesem Minderheitengesetz erhielten die Minoritäten das Recht auf Schulbildung in der Muttersprache, das Recht auf Gebrauch der Muttersprache als Amtssprache sowie das Recht auf Information in eigener Sprache. Zudem sei auch deren proportionale Vertretung in öffentlichen Ämtern vorgesehen. Vereinzelte Benachteiligungen und Schikanen gegenüber Romas könnten zwar nicht restlos ausgeschlossen werden. Allerdings billige oder unterstütze der Staat selbst Übergriffe durch Drittpersonen nicht. Solche Vorfälle stellten auch in Serbien Straftatbestände dar, die strafrechtlich verfolgt würden. Es könne zwar in einzelnen Fällen vorkommen, dass Behördenvertreter mit niederen Chargen die notwendigen Untersuchungsmassnahmen trotz wiederholtem Intervenieren nicht einleiteten. Es bestehe jedoch die Möglichkeit, gegen fehlbare Beamten auf dem Rechtsweg vorzugehen und die zustehenden Rechte bei höheren In­stanzen einzufordern. Der serbische Staat sei bestrebt, Verfehlungen von Beamten zu ahnden. Zudem gelte Serbien seit dem 6. März 2009 als verfolgungssicherer Staat im Sinne von Art. 6a Abs. 2 lit. a AsylG. Im Weiteren könne festgehalten werden, dass die Vergewaltigung der Tochter nicht glaubhaft sei. Infolgedessen könne auch nicht geglaubt werden, dass die Beschwerdeführerin aus diesem Vorkommnis Nachteile erwachsen seien. Schliesslich erfüllten auch die gesundheitlichen Probleme der Beschwerdeführerin die Anforderungen an die Flüchtlingseigenschaft nicht.</w:t>
      </w:r>
    </w:p>
    <w:p>
      <w:r>
        <w:rPr>
          <w:b/>
        </w:rPr>
        <w:t>E. 5.2</w:t>
      </w:r>
    </w:p>
    <w:p>
      <w:r>
        <w:t>Die Beschwerdeführerin hielt dem entgegen, Roma unterlägen in Serbien einer Kollektivverfolgung. Zudem habe die Tochter sehr wohl glaubhaft dargetan, dass und unter welchen Umständen sie verschleppt und vergewaltigt worden sei. In diesem Zusammenhang werde sie versuchen, weitere Beweismittel über die Anzeigeerstattung zu erlangen. Der serbische Staat unternehme im Falle solcher Übergriffe gegenüber Roma-Frauen nicht wirklich etwas zu ihrem Schutz beziehungsweise zur effi­zienten Aufklärung der Taten und zeige sich somit als schutzunwillig. So sei auch ihr auf dem Polizeiposten beschieden worden, sie habe kein Recht auf eine Klage.</w:t>
      </w:r>
    </w:p>
    <w:p>
      <w:r>
        <w:rPr>
          <w:b/>
        </w:rPr>
        <w:t>E. 6</w:t>
      </w:r>
    </w:p>
    <w:p>
      <w:r>
        <w:t>Wie die Vorinstanz richtigerweise ausführt, ergeben sich hinsichtlich der angeblichen Vergewaltigung der Tochter gewisse Zweifel bezüglich des Ablaufs der Geschehnisse. Das BFM hat aber ohnehin in seinen weiteren Erwägungen im Ergebnis zu Recht erkannt, dass die Vorbringen der Beschwerdeführerin nicht asylrelevant sind.</w:t>
      </w:r>
    </w:p>
    <w:p>
      <w:r>
        <w:rPr>
          <w:b/>
        </w:rPr>
        <w:t>E. 6.1</w:t>
      </w:r>
    </w:p>
    <w:p>
      <w:r>
        <w:t>Nach Lehre und Rechtsprechung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befürchten muss. Die Nachteile müssen der asylsuchenden Person gezielt und aufgrund bestimmter Verfolgungsmotive drohen oder zugefügt worden sein. Nach neuerer Rechtsprechung kann eine Verfolgungshandlung im Sinne von Art. 3 AsylG von staatlichen oder nichtstaatlichen Akteuren ausgehen. Danach ist nichtstaatliche Verfolgung als Verfolgung im Sinne des Asylgesetzes zu erachten, wenn der Staat unfähig oder nicht willens ist, Schutz vor besagter Verfolgung zu bieten. Es ist dabei nicht eine faktische Garantie für langfristigen individuellen Schutz der von nichtstaatlicher Verfolgung bedrohten Person zu verlangen, weil es keinem Staat gelingen kann, die absolute Sicherheit seiner Bürgerinnen und Bürger jederzeit und überall zu garantieren. Erforderlich ist aber, dass eine funktionierende und effiziente Schutzinfrastruktur zur Verfügung steht, wobei in erster Linie an polizeiliche Aufgaben wahrnehmende Organe sowie an ein Rechts- und Justizsy­stem zu denken ist, welche eine effektive Strafverfolgung ermöglichen. Die Inanspruchnahme dieses Schutzsystems muss der betroffenen Person zudem objektiv zugänglich und individuell zumutbar sein, was jeweils im Rahmen einer Einzelfallprüfung unter Berücksichtigung des länderspe­zifischen Kontexts zu beurteilen ist (vgl. BVGE 2008/12 E. 5 S. 154 f. mit weiteren Hinweisen).</w:t>
      </w:r>
    </w:p>
    <w:p>
      <w:r>
        <w:rPr>
          <w:b/>
        </w:rPr>
        <w:t>E. 6.2</w:t>
      </w:r>
    </w:p>
    <w:p>
      <w:r>
        <w:t>Im Zuge des demokratischen Wandels hat sich die Situation der ethnischen Minderheiten in Serbien entspannt. Am 25. Februar 2002 ist das Bundesgesetz zum Schutz und zur Freiheit der nationalen Minderheiten, welches auch für die anerkannte Minderheit der Roma Geltung beansprucht, in Kraft getreten. Nach einer Gewalteskalation in den Jahren 2003 und 2004 intervenierten verschiede­ne internationale Organisationen. Im Jahr 2005 wurde ein 10-Punkte-Plan zwischen den serbischen Behörden und den Behörden der Vojvodina ver­abschiedet, welcher die Verbesserung der ethnischen Beziehungen zum Ziel hat. Im gleichen Jahr ist die serbische Regierung der "Decade of Ro­ma Inclusion", einer internationalen Initiative, welche sowohl Regierungs- und Nichtregierungsorganisationen als auch die Roma-Zivilbe­völ­kerung zusammenbringt, um die Entwicklung im Zusammenhang mit der Verbesserung des Wohlergehens der Roma zu fördern und die diesbezüglichen Fortschritte zu überwachen und transparent zu machen, beigetreten. Diese Initiative konzentriert sich schwergewichtig auf die Bereiche Ausbildung, Arbeit, Gesundheit und Wohnen und verpflichtet die Staaten, andere Kernaspekte der Armut, Diskriminierung und Geschlechtergleichstellung zu berücksichtigen. Serbien hat in diesem Zusammenhang vier nationale Aktionsprogramme verabschiedet, welche sich auf die Bereiche Wohnen, Gesundheit, Ausbildung und Arbeit beziehen. Es bestehen Bemühungen, ge­gen diskriminierendes Verhalten gegenüber Roma vorzugehen; unter anderem wurde angestrebt, Roma als Polizeiangestellte anzustellen und den Dialog zwischen Polizei und Romagemeinschaften zu fördern (vgl. Urteil des Bundesverwaltungsgerichts E-3741/2009 vom 30. November 2011 mit weiteren Hinweisen).</w:t>
      </w:r>
    </w:p>
    <w:p>
      <w:r>
        <w:rPr>
          <w:b/>
        </w:rPr>
        <w:t>E. 6.3</w:t>
      </w:r>
    </w:p>
    <w:p>
      <w:r>
        <w:t>In jüngster Zeit konnten weitere Verbesserungen im Minderheitenschutz verzeichnet werden. So wurde beispielsweise am 26. März 2009 ein Anti-Diskriminierungsgesetz verabschiedet. Am 31. August 2009 folgte das Gesetz über nationale Minderheitsräte, welches den Minderheiten grosse Autonomie in den Bereichen Sprache, Bildung und Kultur gewährt, und am 6. Juni 2010 wurden die ersten Wahlen für diese Räte durchgeführt. Die inter-ethnische Situation in der Vojvodina, wo die Beschwerdeführerin herstammt, hat sich weiter verbessert und es konnte ein Rückgang inter-ethnischer Vorfälle verzeichnet werden. Vereinzelte Über­griffe durch Drittpersonen gegen Roma können aber weiterhin nicht ausgeschlossen werden. Der serbische Staat billigt oder unterstützt solche Übergriffe jedoch nicht, sondern erweist sich grundsätzlich als schutzwillig und schutzfähig und verfolgt die Vorfälle strafrechtlich. So konnten in jüngster Zeit in Bezug auf polizeiliche Untersuchungen bei inter-ethni­schen Vorfällen Verbesserungen verzeichnet werden. Trotz politischer Sensibilisierung in diesem Bereich und Massnahmen zur Stärkung der Effizienz der Polizeiarbeit, kann es aber vorkommen, dass polizeilich untergeordnete Behörden bei einer Anzeige die notwendigen Untersuchungsmassnahmen nicht einleiten. In solchen Fällen besteht jedoch die Möglichkeit, gegen fehlbare Beamte auf dem Rechtsweg vorzugehen. Wenn auch eine klare Ahndung von ethnisch motivierter Gewalt auf gerichtlicher Ebene weiterhin nur zögerlich voranzugehen scheint, wurden vereinzelte Übergriffe gegen Minderheiten in jüngster Zeit gerichtlich verfolgt (vgl. European Roma Rights Centre [ERRC], Parallel submission by the European Roma Rights Centre to the Committee On The Elimination Of All Forms Of Racial Discrimination on Serbia for its consideration at the 78th Session 14 February To 11 March 2011, Januar 2011; European Commis­sion, Serbia 2010 Progress Report, 9. November 2010; Human Rights Watch, World Report 2011, Januar 2011; US Department of State, Country Report on Human Rights Practices 2009, 11. März 2010; Urteil des Bundesverwaltungsgerichts E-3741/2009 vom 30. November 2011 mit weiteren Hinweisen).</w:t>
      </w:r>
    </w:p>
    <w:p>
      <w:r>
        <w:rPr>
          <w:b/>
        </w:rPr>
        <w:t>E. 6.4</w:t>
      </w:r>
    </w:p>
    <w:p>
      <w:r>
        <w:t>Entgegen der Ansicht der Beschwerdeführerin kann nach dem Gesagten nicht davon gesprochen werden, dass sie als Roma in Serbien einer Kollektivverfolgung unterliegt, und es ist von einem adäquaten staatlichen Schutz durch die serbischen Behörden auszugehen. Zudem war die Schutzsuche - eventuell verbunden mit einer Wohnsitzänderung - für die Beschwerdeführerin auch zumutbar, wurde doch innerhalb der Familie offen über die angebliche Vergewaltigung ihrer Tochter gesprochen und sie von der Familie unterstützt. Zudem war es der Beschwerdeführerin zuzu­muten, sich an eine obere Instanz zu wenden, hätte die lokale Polizei tatsächlich nichts unternommen. Diesen Erwägungen vermag die Beschwerdeführerin auf Rechtsmittelebene nichts Stichhaltiges entgegen zu halten. Vor diesem Hintergrund kann dahingestellt bleiben, inwiefern die entsprechend geltend gemachten Nachteile - die Vergewaltigung der Tochter -, die allein die in diesem Zeitpunkt bereits volljährige Tochter betrafen, die Flüchtlingseigenschaft der Mutter zu begründen vermöchten.</w:t>
      </w:r>
    </w:p>
    <w:p>
      <w:r>
        <w:rPr>
          <w:b/>
        </w:rPr>
        <w:t>E. 6.5</w:t>
      </w:r>
    </w:p>
    <w:p>
      <w:r>
        <w:t>Trotz der Bemühungen der Behörden zur Förderung der Gleichbehandlung, werden Roma in Serbien aber nach wie vor Opfer verschiedener Diskriminierungen, namentlich in den Bereichen Bildung, Arbeit, Woh­nen und Gesundheit, welche sie in eine prekäre Situation versetzen. Allein mit der Zugehörigkeit zur serbischen Minderheit der Roma und den in diesem Zusammenhang geltend gemachten widrigen Lebensumständen wird aber noch keine individuelle Betroffenheit im Sinne der asylrechtlichen Bestimmungen dargelegt.</w:t>
      </w:r>
    </w:p>
    <w:p>
      <w:r>
        <w:rPr>
          <w:b/>
        </w:rPr>
        <w:t>E. 6.6</w:t>
      </w:r>
    </w:p>
    <w:p>
      <w:r>
        <w:t>Zusammenfassend ist festzustellen, dass die Vorbringen der Beschwerdeführerin den Anforderungen an die Flüchtlingseigenschaft ge­mäss Art. 3 AsylG nicht genügen. Das BFM hat das Asylgesuch demnach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Beschwerdeführerin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Serbien ist demnach unter dem Aspekt von Art. 5 AsylG rechtmässig. Sodann ergeben sich weder aus den Aussagen der Beschwerdeführerin noch aus den Akten Anhaltspunkte dafür, dass sie für den Fall einer Ausschaffung nach Serbien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Auch die allgemeine Menschenrechtssituation in Serbien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Die allgemeine Lage in Serbien lässt nicht auf eine konkrete Gefährdung der Beschwerdeführerin im Falle einer Rückkehr schliessen. Zwar werden Angehörige der Roma - wie erwähnt - beim Zugang zu Bildung, Arbeit, Wohnen und Gesundheit diskriminiert. Diese Diskriminierun­gen erreichen indessen nicht ein Ausmass, das den Vollzug der Wegweisung allgemein als unzumutbar erscheinen liesse. Auch sprechen keine individuellen Gründe gegen die Zumutbarkeit der Rückkehr der Beschwerdeführerin. Zwar wurde ihre Tochter mit Verfügung vom 12. März 2012 aufgrund der vorläufigen Aufnahme deren Ehemannes ebenfalls vorläufig aufgenommen, sodass die Beschwerdeführerin nicht wie vom BFM angenommen, mit der Tochter zusammen nach Serbien zurückkehren kann. Jedoch wohnen in Serbien drei weitere Töchter der Beschwerdeführerin (B10 F51 ff.) und ein Onkel, bei dem sie offenbar schon vor ihrer Ausreise leben konnte und der sie finanziell unterstützte und ihr sogar die Ausreise finanzierte, welche 2400 Euro gekostet habe (B10 F30). So­mit verfügt sie über ein familiäres- und soziales Beziehungsnetz, welches sie bei einer Rückkehr unterstützen kann. Auch wohnen drei Söhne und eine Tochter in Deutschland sowie eine Tochter in der Schweiz (B10 F51 ff.), welche sie allenfalls finanziell unterstützen können. Der Einwand, sie habe zu ihren Kindern kaum Kontakt, kann angesichts des kulturell bedingten engen Zusammenhalts in der Romagemeinschaft, nicht geglaubt werden.</w:t>
      </w:r>
    </w:p>
    <w:p>
      <w:r>
        <w:rPr>
          <w:b/>
        </w:rPr>
        <w:t>E. 8.4.2</w:t>
      </w:r>
    </w:p>
    <w:p>
      <w:r>
        <w:t>Die Beschwerdeführerin macht in ihrer Beschwerde gesundheitliche Probleme geltend. Entgegen ihrer Ankündigung wurden bis anhin jedoch keine diesbezüglichen Beweismittel eingereicht. Es ist aber ohnehin davon auszugehen, dass die geltend gemachten Beschwerden (Bronchitis, Herzprobleme) in Serbien behandelt werden können. Zwar haben Ro­ma in Serbien verschiedenen Quellen zufolge nur beschränkt Zugang zu medizinischer Versorgung. Dies hängt jedoch hauptsächlich damit zusammen, dass sie oft weder über Dokumente noch eine feste Wohnsitzadresse verfügen. Zudem hat die serbische Regierung jüngst 45 Roma-Ge­sund­heitsmediatoren eingestellt (vgl. ERRC, a.a.O., Ziff. 29 f.; Urteil des Bundesverwaltungsgerichts D-912/2011 vom 16. Juni 2011 mit weiteren Hinweisen). Die Beschwerdeführerin dürfte über Dokumente verfügen, konnte sie doch in der Vergangenheit einen Pass erhältlich machen, und hatte im Haus ihres Onkels einen festen Wohnsitz, sodass sie nicht wie andere Roma in einer illegalen Siedlung leben musste. Schliesslich besteht auch die Möglichkeit, medizinische Rückkehrhilfe in Anspruch zu nehmen. Es ist demnach nicht davon auszugehen, die gesundheitlichen Pro­bleme der Beschwerdeführerin würden im Falle des Vollzugs der Wegwei­sung nach Serbien mangels ausreichender medizinischer Behandlungsmöglichkeiten eine drastische und lebensbedrohende Verschlechterung ihres Gesundheitszustandes nach sich ziehen.</w:t>
      </w:r>
    </w:p>
    <w:p>
      <w:r>
        <w:rPr>
          <w:b/>
        </w:rPr>
        <w:t>E. 8.4.3</w:t>
      </w:r>
    </w:p>
    <w:p>
      <w:r>
        <w:t>Nach dem Gesagten ist - trotz der wirtschaftlich schwierigen Lage in Serbien, insbesondere für Angehörige der Ethnie der Roma - nicht davon auszugehen, dass die Beschwerdeführerin in eine existenzgefährdende Lage geraten wird. Der Vollzug der Wegweisung erweist sich somit auch als zumutbar.</w:t>
      </w:r>
    </w:p>
    <w:p>
      <w:r>
        <w:rPr>
          <w:b/>
        </w:rPr>
        <w:t>E. 8.5</w:t>
      </w:r>
    </w:p>
    <w:p>
      <w:r>
        <w:t>Schliesslich obliegt es der Beschwerdeführerin,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8.6</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die Kosten der Beschwer­de­führerin aufzuerlegen (Art. 63 Abs. 1 VwVG). Diese stellte in ihrer Beschwerde jedoch ein Gesuch um unentgeltliche Rechtspflege im Sinne von Art. 65 Abs. 1 VwVG. Gemäss dieser Bestimmung wird von der Erhe­bung von Verfahrenskosten abgesehen, wenn die Partei nicht über die erforderlichen Mittel verfügt und ihre Beschwerdevorbringen nicht aussichtslos erscheinen. Zwar wurde die in Aussicht gestellte Fürsorgebestätigung bis anhin nicht zu den Akten gereicht. Aufgrund der Akten und insbesondere aufgrund des hohen Alters der Beschwerdeführerin sowie der Tatsache, dass sie keiner Erwerbstätigkeit nachgeht, ist jedoch insgesamt von ihrer Bedürftigkeit auszugehen. Nach dem Gesagten sind die Begehren auch nicht als aussichtslos zu bezeichnen. Das Gesuch um un­entgeltliche Rechtspflege im Sinne von Art. 65 Abs. 1 VwVG ist somit gutzuheissen und es sind keine 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