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D-7914/2010 vom 20. Dezember 2010</w:t>
      </w:r>
    </w:p>
    <w:p>
      <w:r>
        <w:t>Bundesverwaltungsgericht, 2010-12-20, DE</w:t>
      </w:r>
    </w:p>
    <w:p>
      <w:r>
        <w:rPr>
          <w:b/>
        </w:rPr>
        <w:t xml:space="preserve">Quelle: </w:t>
      </w:r>
      <w:r>
        <w:t>https://mcp.opencaselaw.ch/entscheid/bvger_D-7914_2010</w:t>
      </w:r>
    </w:p>
    <w:p>
      <w:r>
        <w:t>FR: TAF D-7914/2010 du 20 décembre 2010</w:t>
      </w:r>
    </w:p>
    <w:p>
      <w:r>
        <w:t>IT: TAF D-7914/2010 del 20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angefochtene Verfügung wurde dem Beschwerdeführer durch die schweizerische Vertretung mit Begleitschreiben vom 7. September 2010 per eingeschriebener Post zugestellt. Bei den Akten befindet sich kein Empfangsschein und ein solcher konnte vom BFM auch nicht auf­gefunden werden, weshalb der Zeitpunkt der Eröffnung nicht festgestellt werden kann. Da es den Asylbehörden obliegt, den Beweis über den Eröffnungszeitpunkt zu führen, ist zu Gunsten des Beschwerdeführers von der rechtzeitigen Beschwerdeerhebung auszugehen (vgl. André André Moser/Michael Beusch/Lorenz Kneubühler, Prozessieren vor dem Bundesverwaltungsgericht, Basel 2008, S. 166). Die Beschwerde wurde demnach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von der Durchführung des Schriftenwechsels abgesehen.</w:t>
      </w:r>
    </w:p>
    <w:p>
      <w:r>
        <w:rPr>
          <w:b/>
        </w:rPr>
        <w:t>E. 4.1</w:t>
      </w:r>
    </w:p>
    <w:p>
      <w:r>
        <w:t>Das Bundesamt kann ein im Ausland gestelltes Asylgesuch ableh­nen, wenn die asylsuchende Person keine Verfolgung glaubhaft machen kann oder ihr die Aufnahme in einem Drittstaat zugemutet werden kann (Art. 3, 7 und 52 Abs. 2 AsylG). Ist dagegen eine unmittelbare Gefahr für Leib und Leben oder für die Freiheit aus einem Grund nach Art. 3 Abs. 1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w:t>
      </w:r>
    </w:p>
    <w:p>
      <w:r>
        <w:rPr>
          <w:b/>
        </w:rPr>
        <w:t>E. 4.2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Entscheidungen und Mitteilungen der Schweizerischen Asylrekurskommission [EMARK] 2004 Nr. 20 E. 3 S. 130 f. und Nr. 21 E. 2 S. 136 f., EMARK 2005 Nr. 19 E. 4 S. 174 ff.).</w:t>
      </w:r>
    </w:p>
    <w:p>
      <w:r>
        <w:rPr>
          <w:b/>
        </w:rPr>
        <w:t>E. 5.1</w:t>
      </w:r>
    </w:p>
    <w:p>
      <w:r>
        <w:t>Zur Begründung ihres Entscheides führte die Vorinstanz aus, für die Gewährung der Einreise sei die Gefährdung im Zeitpunkt der Einrei­sebewilligung massgebend. Trotz seiner zweijährigen Inhaftierung in den Jahren 2006 bis 2009, den damit verbundenen psychischen und phy­sischen Beeinträchtigungen und seiner subjektiven Furcht vor erneuten Übergriffen, sei der Beschwerdeführer - bei einer objektivierten Be­trachtungsweise - nicht akut gefährdet. Er sei am 11. Mai 2009 gerichtlich ohne Auflagen freigelassen worden. Folglich hätten keine weiteren Verdachtsmomente gegen ihn vorgelegen respektive kein weiteres Verfolgungsinteresse der Behörden gegen ihn bestanden. Hinsichtlich des Vorbringens, er sei nach der Haftentlassung immer wieder kontrolliert worden und habe sich regelmässig bei der Polizei melden müssen, sei festzuhalten, dass diese Massnahmen lokalen Charakter hätten und eine Methode der Sicherheitskräfte darstellten, die Anwesenheit der Bevölkerung zu kontrollieren. Obwohl es sich hierbei unbestrittenermassen um eine die Bewegungsfreiheit einschränkende Massnahme handle, könne diese - wie auch die erwähnten Geldforderungen - nicht als ernsthafte Nachteile im Sinne des Asylgesetzes gewertet werden. Nach dem Gesagten könne nicht von einer begründeten Furcht vor weiteren Verfolgungsmassnahmen ausgegangen werden. In diesem Zusammenhang sei auch auf die veränderte Situation in Sri Lanka hinzuweisen. Seit der Krieg zwischen der sri-lankischen Regierung und den separatistischen LTTE im Mai 2009 mit der Niederlage der LTTE zu Ende gegangen sei, befinde sich das gesamte Land erstmals seit 1983 wieder unter Regierungskontrolle. Obwohl der Staat vieles daran setze, ein Wiedererstarken der LTTE zu verhindern und aktiv nach ehemaligen Mitgliedern der Organisation suche, habe sich die Sicherheits- und Menschenrechtslage verbessert. Da der Beschwer­deführer seinen Angaben zufolge nie selber Mitglied der LTTE gewesen sei und sich auch politisch nicht engagiert habe, sei nicht davon auszugehen, dass die sri-lankischen Behörden ein Verfolgungsinteresse an ihm hätten. An diesen Erwägungen vermöchten auch die eingereichten Dokumente nichts zu ändern, stützten sie doch lediglich Vorbringen, deren Glaubhaftigkeit vorliegend nicht in Frage gestellt würden.</w:t>
      </w:r>
    </w:p>
    <w:p>
      <w:r>
        <w:rPr>
          <w:b/>
        </w:rPr>
        <w:t>E. 5.2</w:t>
      </w:r>
    </w:p>
    <w:p>
      <w:r>
        <w:t>Der Beschwerdeführer wiederholte in seiner Beschwerde vorab seine Gesuchsgründe und führte weiter aus, er habe sich bis August 2010 beim CID melden müssen. Seit im September 2010 zwei Lastwagen explodiert seien, würden Leute wie er wieder vermehrt kontrolliert und in den Zeitschriften werde darüber geschrieben. Wegen seiner früheren LTTE-Mitgliedschaft werde seine Familie als Tigerfamilie bezeichnet und er finde keine Arbeit. Zur Stützung seiner Vorbringen reichte er im Wesentlichen die anlässlich der Asylgesuchstellung eingereichten Dokumente noch einmal ein. Neu reichte er unter anderem die Bestätigung eines Parlamentariers vom 11. Oktober 2010 ein, wonach sich der Beschwerdeführer nicht mehr beim CID melden müsse.</w:t>
      </w:r>
    </w:p>
    <w:p>
      <w:r>
        <w:rPr>
          <w:b/>
        </w:rPr>
        <w:t>E. 6.1</w:t>
      </w:r>
    </w:p>
    <w:p>
      <w:r>
        <w:t>Mit der Vorinstanz ist festzuhalten, dass der Beschwerdeführer in ab­sehbarer Zukunft keine ernsthaften Nachteile durch Verfolgungsmass­nahmen der sri-lankischen Sicherheitskräfte zu befürchten hat. Zwar bedeutet die Inhaftierung des Beschwerdeführers einen schwerwiegenden Eingriff in dessen Recht auf persönliche Freiheit und seine physische wie psychische Integrität. Am 11. Mai 2009 wurde er aber schliesslich von einem Gericht ohne Auflagen freigelassen und muss sich seit August 2010 auch nicht mehr regelmässig beim CID melden. Es ist demnach davon auszugehen, dass nichts gegen ihn vorliegt. Seit seiner Haftentlassung konnte er ein den Umständen in Sri Lanka entsprechend unbehelligtes Leben führen. Die Sache kann somit als abgeschlossen gelten.</w:t>
      </w:r>
    </w:p>
    <w:p>
      <w:r>
        <w:rPr>
          <w:b/>
        </w:rPr>
        <w:t>E. 6.2</w:t>
      </w:r>
    </w:p>
    <w:p>
      <w:r>
        <w:t>Allfällige Kontrollen durch die Polizei nach der Haftentlassung müs­sen vor dem Hintergrund der weiterhin angespannten Lage in Sri Lanka gesehen werden. Die Sicherheitsmassnahmen wurden nach dem militärischen Sieg der sri-lankischen Armee über die LTTE im Mai 2009 nur langsam gelockert, Notstandsgesetze (Emergency Rules) und das Anti-Terror-Gesetz (Prevention of Terrorism Act) blieben in Kraft (vgl. Danish Immigration Service, Human Rights and Security issues concerning tamils in Sri Lanka, Oktober 2010, insbesondere S.45 ff.; Urteil des Bundesverwaltungsgerichts D-6923/2008 vom 5. August 2010). Insgesamt weist der Beschwerdeführer aber trotz der erlebten Haft kein besonderes Risikoprofil auf, das ihn aktuell aus objektiver Sicht als gefährdet erscheinen liesse. Gemäss seinen Angaben im erstinstanzlichen Verfahren stehen weder er noch andere Familienmitglieder in irgendeiner Verbindung mit den LTTE (A12 S. 4). Wenn er nun in der Beschwerde geltend macht, er sei ein ehemaliges LTTE-Mitglied, muss dies als nachgeschoben und somit unglaubhaft gewertet werden, zumal davon ausgegangen werden kann, die sri-lankischen Behörden hätten diese Verbindung während seiner zweieinhalbjährigen Haft aufgedeckt und ihn somit nicht ohne Auflagen aus der Haft entlassen. Den polizeilichen Kontrollen alleine kommt aufgrund ihrer Eingriffsdauer und Intensität kein Verfolgungscharakter zu, und es besteht aus objektiver Sicht auch nicht die Gefahr, der Beschwer­deführer werde erneut ernsthaften Nachteilen ausgesetzt. Die von ihm geschilderten Vorfälle im Nachgang zur Haftentlassung im Jahre 2009 stellen demnach keine ernsthaften Nachteile im Sinne des Gesetzes dar.</w:t>
      </w:r>
    </w:p>
    <w:p>
      <w:r>
        <w:rPr>
          <w:b/>
        </w:rPr>
        <w:t>E. 6.3</w:t>
      </w:r>
    </w:p>
    <w:p>
      <w:r>
        <w:t>Zu den befürchteten Übergriffen durch paramilitärische Gruppen machte der Beschwerdeführer keine näheren Angaben, sodass aus ob­jektiver Sicht keine Gefahr für ernsthafte Nachteile von dieser Seite er­kannt werden kann. Ohnehin kann aber in diesem Zusammenhang fest­gehalten werden, dass sich der Beschwerdeführer zum Schutz ge­gen allfällige Übergriffe an die Behörden wenden könnte.</w:t>
      </w:r>
    </w:p>
    <w:p>
      <w:r>
        <w:rPr>
          <w:b/>
        </w:rPr>
        <w:t>E. 7.1</w:t>
      </w:r>
    </w:p>
    <w:p>
      <w:r>
        <w:t>Gestützt auf die vorstehenden Erwägungen ist zusammenfassend festzustellen, dass der Beschwerdeführer keine aktuelle und unmittelbare Gefährdung im Sinne von Art. 3 AsylG darzulegen vermochte. An dieser Einschätzung vermögen auch die Vorbringen in der Beschwerde nichts zu ändern, zumal sich der Beschwerdeführer in keiner Weise mit den Erwägungen des BFM auseinandersetzte.</w:t>
      </w:r>
    </w:p>
    <w:p>
      <w:r>
        <w:rPr>
          <w:b/>
        </w:rPr>
        <w:t>E. 7.2</w:t>
      </w:r>
    </w:p>
    <w:p>
      <w:r>
        <w:t>Zusammenfassend ist festzustellen, dass die Schutzbedürftigkeit des Beschwerdeführers im Sinne von Art. 20 i.V.m. Art. 3 AsylG als nicht gegeben zu qualifizieren ist und auch keine anderen Gründe die Erteilung einer Einreisebewilligung indizieren würden. Das BFM hat demnach dem Beschwerdeführer zu Recht die Einreise in die Schweiz verweigert beziehungsweise dessen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