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D-7912/2009 vom 12. Juli 2011</w:t>
      </w:r>
    </w:p>
    <w:p>
      <w:r>
        <w:t>Bundesverwaltungsgericht, 2011-07-12, DE</w:t>
      </w:r>
    </w:p>
    <w:p>
      <w:r>
        <w:rPr>
          <w:b/>
        </w:rPr>
        <w:t xml:space="preserve">Quelle: </w:t>
      </w:r>
      <w:r>
        <w:t>https://mcp.opencaselaw.ch/entscheid/bvger_D-7912_2009</w:t>
      </w:r>
    </w:p>
    <w:p>
      <w:r>
        <w:t>FR: TAF D-7912/2009 du 12 juillet 2011</w:t>
      </w:r>
    </w:p>
    <w:p>
      <w:r>
        <w:t>IT: TAF D-7912/2009 del 12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vom 18. Dezember 2009 verweist der Beschwerdeführer unter anderem auf das Urteil D-4472/2008 vom 5. Februar 2009, wo sich das Bundesverwaltungsgericht zur Überprüfung der Echtheit einer Tazkara geäussert habe. Demnach seien bei der Beurteilung der Fälschungssicherheit eines Dokumentes nicht nur die schweizerischen Bedingungen, sondern immer auch die Bedingungen des Ausstellungslandes zu berücksichtigen. Nur wenn die Identitätskarte dem afghanischen Qualitätsstandards nicht entspreche und die Massstäbe, welche Afghanistan an die Fälschungssicherheit von Identitätskarten festlege, nicht erfülle, dürfe der Schluss gezogen werden, das Dokument genüge den Anforderungen an die Fälschungssicherheit nicht. Die Tatsache, dass die abgegebene Tazkara kein einziges Sicherheitsmerkmal aufweise, lasse zwar vermuten, dass es auch nach afghanischen Bestimmungen nicht als fälschungssicher zu qualifizieren wäre, zumal zu erwarten sei, dass Afghanistan die selbst ausgestellten Identitätskarten mit gewissen Sicherheitsmerkmalen ausgestattet habe. Mit hinreichender Sicherheit stehe dies indessen nicht fest, womit einerseits ein gewisser Klärungsbedarf bestehe und andererseits nicht - wie von der Vorinstanz - der Schluss gezogen werden könne, es handle sich mangels Sicherheitsmerkmalen nicht um ein Identitätspapier im Sinne der erwähnten Praxis des Bundesverwaltungsgerichts.</w:t>
      </w:r>
    </w:p>
    <w:p>
      <w:r>
        <w:rPr>
          <w:b/>
        </w:rPr>
        <w:t>E. 4.2</w:t>
      </w:r>
    </w:p>
    <w:p>
      <w:r>
        <w:t>Der Beschwerdeführer verkennt mit seiner Argumentation zwei Dinge. Zum einen lag dem zitierten Entscheid ein anderer Sachverhalt zu Grunde. Dort ging es in erster Linie um die Frage, ob das BFM in der angefochtenen Verfügung zu Recht auf das Asylgesuch des Beschwerdeführers nicht eingetreten sei, da die behauptete Minderjährigkeit des Beschwerdeführers unbewiesen geblieben sei, und ob es sich bei der von ihm abgegebenen Tazkara um ein Reise- oder Identitätspapier im Sinne von Art. 1 Bst. b der Asylverordnung 1 vom 11. August 1999 über Verfahrensfragen (AsylV 1, SR 142.311) handle. Das BFM kam in diesem Fall zum Schluss, dass die Identität des Beschwerdeführers insgesamt nicht rechtsgenüglich belegt worden sei und somit nicht feststehe. Da er die Flüchtlingseigenschaft nicht erfülle, werde auf sein Asylgesuch nicht eingetreten. Der Beschwerdeführer habe die Mitwirkungs- und Wahrheitspflicht im Rahmen der Sachverhaltsermittlung offensichtlich verletzt und die Asylbehörden zu täuschen versucht, weshalb die Asylbehörden trotz des ihnen obliegenden Untersuchungsgrundsatzes bei fehlenden Hinweisen nicht nach allfälligen Wegweisungshindernissen zu forschen hätten. Im vorliegenden Fall hingegen wies die Vorinstanz das Asylgesuch ab, weil die Vorbringen des Beschwerdeführers den Anforderungen an die Glaubhaftigkeit gemäss Art. 7 AsylG nicht standhielten. Darüber hinaus taxierte das BFM die Tazkara noch aus anderen Gründen, als den im zitierten Fall erwähnten, als unecht. Insbesondere der Umstand, wonach der Beschwerdeführer seinen eigenen Angaben zufolge 17 Jahre alt gewesen sein will, währendem er seiner Tazkara zufolge im Zeitpunkt ihrer Ausstellung im Jahre 2007 (1386 gemäss dem afghanischen Kalender) 14 Jahre alt gewesen sein soll und somit zum Zeitpunkt der Verfügung 16 Jahre alt gewesen wäre. Auf entsprechenden Vorhalt hin konnte der Beschwerdeführer weder bei der BZP noch bei der DBA die Abweichung von einem Jahr erklären (vgl. Ausführungen vorstehend unter C.a). Auch auf Beschwerdeebene gelang es ihm nicht, die Unstimmigkeiten durch seine Ausführungen sowie anhand der nachgereichten Beweismittel auszuräumen. Das BFM hielt denn auch in seiner Vernehmlassung vom 25. Januar 2010 fest, dass die Angaben des Beschwerdeführers im Verlauf des Asylverfahrens nicht mit denen übereinstimmten, die aus den angeblichen Beweismitteln hervorgingen. Folglich vermag der Beschwerdeführer aus dem zitierten Entscheid nichts zu seinen Gunsten abzuleiten. Vielmehr ist das BFM im angefochtenen Entscheid zu Recht von der Unglaubhaftigkeit seiner Vorbringen ausgegangen.</w:t>
      </w:r>
    </w:p>
    <w:p>
      <w:r>
        <w:rPr>
          <w:b/>
        </w:rPr>
        <w:t>E. 4.3</w:t>
      </w:r>
    </w:p>
    <w:p>
      <w:r>
        <w:t>Nach dem Gesagten erübrigt es sich, auf die weiteren Ausführungen in der Eingabe des Beschwerdeführers im Einzelnen einzugehen, da sie am Ergebnis der vorgenommenen Würdigung nichts zu ändern vermögen. Das Bundesamt hat demnach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Afghanistan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Im zur Publikation vorgesehenen Urteil E-7625/2008 vom 16. Juni 2011 nahm das Bundesverwaltungsgericht eine aktuelle ausführliche Lageanalyse vor und kam dabei zum Schluss, dass in weiten Teilen Afghanistans - ausser allenfalls in den Grossstädten - eine derart schlechte Sicherheitslage und derart schwierige humanitäre Bedingungen bestehen, dass die Situation als existenzbedrohend im Sinne von Art. 83 Abs. 4 AuG zu qualifizieren sei (vgl. a.a.O E. 9.9.1). Von dieser allgemeinen Feststellung sei die Situation in der Hauptstadt Kabul zu unterscheiden. Angesichtes des Umstandes, dass sich dort die Sicherheitslage im Verlauf des vergangenen Jahres nicht verschlechtert habe und die humanitäre Situation im Vergleich zu den übrigen Gebieten etwas weniger dramatisch sei, könne der Vollzug der Wegweisung nach Kabul unter Umständen als zumutbar qualifiziert werden (vgl. a.a.O E. 9.9.2). Solche Umstände könnten grundsätzlich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(vgl. a.a.O). Unabdingbar sei in erster Linie ein soziales Netz, das sich im Hinblick auf die Aufnahme und Wiedereingliederung des Rückkehrers als tragfähig erweise. Ohne die Unterstützung durch Familie oder Bekannte würden die schwierigen Lebensverhältnisse auch in Kabul unweigerlich in eine existenzielle beziehungsweise lebensbedrohende Situation führen. Kämen in einer solchen Situation noch gesundheitliche Umstellungsschwierigkeiten hinzu, geriete auch ein junger gesunder Mann ohne soziale Vernetzung unweigerlich innert absehbarer Zeit in eine existenzbedrohende Situation. Im Übrigen betone auch der Schweizer Botschafter in Islamabad die vorrangige Bedeutung eines tragfähigen sozialen Netzes für einen Rückkehrer zur Vermeidung unüberbrückbarer Schwierigkeiten (vgl. a.a.O).</w:t>
      </w:r>
    </w:p>
    <w:p>
      <w:r>
        <w:rPr>
          <w:b/>
        </w:rPr>
        <w:t>E. 6.6</w:t>
      </w:r>
    </w:p>
    <w:p>
      <w:r>
        <w:t>Es bleibt demnach zu prüfen, ob individuelle Gründe vorliegen, die eine Rückkehr des jungen und gemäss Akten gesunden Beschwerdeführers nach Afghanistan als unzumutbar erscheinen lassen.</w:t>
      </w:r>
    </w:p>
    <w:p>
      <w:r>
        <w:rPr>
          <w:b/>
        </w:rPr>
        <w:t>E. 6.6.1</w:t>
      </w:r>
    </w:p>
    <w:p>
      <w:r>
        <w:t>Gemäss Aktenlage ist der Beschwerdeführer gesund. Somit lassen im vorliegenden Fall medizinische Gründe den Wegweisungsvollzug nicht als unzumutbar erscheinen.</w:t>
      </w:r>
    </w:p>
    <w:p>
      <w:r>
        <w:rPr>
          <w:b/>
        </w:rPr>
        <w:t>E. 6.6.2</w:t>
      </w:r>
    </w:p>
    <w:p>
      <w:r>
        <w:t>Wie sich aus den Aussagen des Beschwerdeführers ergibt, lebte dieser seit seiner Geburt bis zu seiner Ausreise in Kabul (vgl. A1/10 S. 1), wo er zehn Jahre lang die Schule besucht habe (vgl. A1/10 S. 3), und wo heute noch seine Eltern und seine beiden verheirateten Brüder mit ihren Familien wohnen (vgl. a.a.O.); auch seine vier Schwestern leben in Afghanistan (vgl. A15/14 S. 5 F. 25). Der Beschwerdeführer kann daher bei einer Rückkehr nach Afghanistan mit einem sozialen Beziehungsnetz in Kabul rechnen, welches ihm bei der Wohnungssuche behilflich sein wird und ihn allenfalls beherbergen kann. Seinen eigenen Angaben zufolge hat ihm sein Vater mit dem Verkauf eines Grundstücks in Panschir die Ausreise finanziert (vgl. A15/14 S. 9 F. 69). Auch seine bisherigen Ausbildungs- und Lebenshaltungskosten wurden von seinem Vater beglichen, welcher als Chauffeur seinen Lebensunterhalt verdient (vgl. A15/14 S. 5 F. 30). Es ist somit davon auszugehen, dass sein Vater auch nach der Rückkehr des Beschwerdeführer nach Afghanistan wieder für diesen aufkommen wird, zumal in dessen Heimat die Bedeutung der Fa­milie einen weitaus grösseren Raum als in Mitteleuropa einnimmt, über die bei uns übliche Kernfamilie hinausgeht und unter anderem bedeutet, dass man sich auch für Familienangehörige, die über die nächste Verwandtschaft hinausgehen, verpflichtet fühlt.</w:t>
      </w:r>
    </w:p>
    <w:p>
      <w:r>
        <w:rPr>
          <w:b/>
        </w:rPr>
        <w:t>E. 6.6.3</w:t>
      </w:r>
    </w:p>
    <w:p>
      <w:r>
        <w:t>Nach dem Gesagten erweist sich der Vollzug der Wegweisung auch als zumutbar.</w:t>
      </w:r>
    </w:p>
    <w:p>
      <w:r>
        <w:rPr>
          <w:b/>
        </w:rPr>
        <w:t>E. 6.7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29. Januar 2010 hiess der zuständige Instruktionsrichter des Bundesverwaltungsgerichts das Gesuch um Gewährung der unentgeltlichen Rechtspflege im Sinne von Art. 65 Abs. 1 VwVG gut. Dem Beschwerdeführer sind somit keine Kosten aufzuerlegen (vgl. Art. 63 Abs. 1 VwVG). Ausgangsgemäss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